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8607D3" w:rsidRDefault="008607D3">
      <w:pPr>
        <w:rPr>
          <w:rFonts w:cs="Arial"/>
        </w:rPr>
      </w:pPr>
    </w:p>
    <w:p w14:paraId="530E31DB" w14:textId="77777777" w:rsidR="008607D3" w:rsidRPr="002C1FD9" w:rsidRDefault="000F3005">
      <w:pPr>
        <w:jc w:val="center"/>
        <w:rPr>
          <w:b/>
          <w:sz w:val="32"/>
          <w:szCs w:val="32"/>
        </w:rPr>
      </w:pPr>
      <w:r w:rsidRPr="002C1FD9">
        <w:rPr>
          <w:b/>
          <w:sz w:val="32"/>
          <w:szCs w:val="32"/>
        </w:rPr>
        <w:t>Expected Resources</w:t>
      </w:r>
    </w:p>
    <w:p w14:paraId="09BC0D50" w14:textId="77777777" w:rsidR="008607D3" w:rsidRPr="002C1FD9" w:rsidRDefault="000F3005">
      <w:pPr>
        <w:pStyle w:val="Heading2"/>
        <w:rPr>
          <w:rFonts w:ascii="Calibri" w:hAnsi="Calibri"/>
          <w:i w:val="0"/>
        </w:rPr>
      </w:pPr>
      <w:r w:rsidRPr="002C1FD9">
        <w:rPr>
          <w:rFonts w:ascii="Calibri" w:hAnsi="Calibri"/>
          <w:i w:val="0"/>
        </w:rPr>
        <w:t>AP-15 Expected Resources – 91.220(c</w:t>
      </w:r>
      <w:proofErr w:type="gramStart"/>
      <w:r w:rsidRPr="002C1FD9">
        <w:rPr>
          <w:rFonts w:ascii="Calibri" w:hAnsi="Calibri"/>
          <w:i w:val="0"/>
        </w:rPr>
        <w:t>)(</w:t>
      </w:r>
      <w:proofErr w:type="gramEnd"/>
      <w:r w:rsidRPr="002C1FD9">
        <w:rPr>
          <w:rFonts w:ascii="Calibri" w:hAnsi="Calibri"/>
          <w:i w:val="0"/>
        </w:rPr>
        <w:t>1,2)</w:t>
      </w:r>
    </w:p>
    <w:p w14:paraId="3E7A9F1C" w14:textId="77777777" w:rsidR="008607D3" w:rsidRPr="002C1FD9" w:rsidRDefault="000F3005">
      <w:pPr>
        <w:keepNext/>
        <w:widowControl w:val="0"/>
        <w:spacing w:line="204" w:lineRule="auto"/>
        <w:rPr>
          <w:b/>
          <w:sz w:val="28"/>
          <w:szCs w:val="28"/>
        </w:rPr>
      </w:pPr>
      <w:r w:rsidRPr="002C1FD9">
        <w:rPr>
          <w:b/>
          <w:sz w:val="24"/>
          <w:szCs w:val="24"/>
        </w:rPr>
        <w:t>Introduction</w:t>
      </w:r>
    </w:p>
    <w:p w14:paraId="5DF2E2DC" w14:textId="77777777" w:rsidR="008607D3" w:rsidRPr="002C1FD9" w:rsidRDefault="000F3005">
      <w:pPr>
        <w:keepNext/>
        <w:widowControl w:val="0"/>
        <w:spacing w:beforeAutospacing="1" w:afterAutospacing="1"/>
      </w:pPr>
      <w:r w:rsidRPr="002C1FD9">
        <w:t xml:space="preserve">The City will utilize CDBG, City general funds, and other sources of funding to support the priorities outlined in this Consolidated Plan.  </w:t>
      </w:r>
    </w:p>
    <w:p w14:paraId="005B72A4" w14:textId="77777777" w:rsidR="00625A94" w:rsidRPr="002B26A6" w:rsidRDefault="00625A94">
      <w:pPr>
        <w:keepNext/>
        <w:widowControl w:val="0"/>
        <w:spacing w:beforeAutospacing="1" w:afterAutospacing="1"/>
        <w:rPr>
          <w:sz w:val="24"/>
          <w:szCs w:val="24"/>
        </w:rPr>
      </w:pPr>
      <w:r w:rsidRPr="002B26A6">
        <w:rPr>
          <w:sz w:val="24"/>
          <w:szCs w:val="24"/>
        </w:rPr>
        <w:t xml:space="preserve">CDBG-CV funding was not an anticipated resource during the original consolidated planning process. However, following the passage of the CARES Act in March 2020, the </w:t>
      </w:r>
      <w:r w:rsidRPr="002C1FD9">
        <w:rPr>
          <w:sz w:val="24"/>
          <w:szCs w:val="24"/>
        </w:rPr>
        <w:t>City</w:t>
      </w:r>
      <w:r w:rsidRPr="002B26A6">
        <w:rPr>
          <w:sz w:val="24"/>
          <w:szCs w:val="24"/>
        </w:rPr>
        <w:t xml:space="preserve"> received a CDBG-CV allocation in the amount of $</w:t>
      </w:r>
      <w:r w:rsidRPr="002C1FD9">
        <w:rPr>
          <w:sz w:val="24"/>
          <w:szCs w:val="24"/>
        </w:rPr>
        <w:t>329,114</w:t>
      </w:r>
      <w:r w:rsidRPr="002B26A6">
        <w:rPr>
          <w:sz w:val="24"/>
          <w:szCs w:val="24"/>
        </w:rPr>
        <w:t xml:space="preserve"> to prevent, prepare for, and respond to the coronavirus crisis in the community. Due to the temporary nature of COVID-19, the </w:t>
      </w:r>
      <w:r w:rsidRPr="002C1FD9">
        <w:rPr>
          <w:sz w:val="24"/>
          <w:szCs w:val="24"/>
        </w:rPr>
        <w:t>City</w:t>
      </w:r>
      <w:r w:rsidRPr="002B26A6">
        <w:rPr>
          <w:sz w:val="24"/>
          <w:szCs w:val="24"/>
        </w:rPr>
        <w:t xml:space="preserve"> does not anticipate receiving additional CDBG-CV funding annually over the course of the five-year strategic plan. The </w:t>
      </w:r>
      <w:r w:rsidRPr="002C1FD9">
        <w:rPr>
          <w:sz w:val="24"/>
          <w:szCs w:val="24"/>
        </w:rPr>
        <w:t>City’s</w:t>
      </w:r>
      <w:r w:rsidRPr="002B26A6">
        <w:rPr>
          <w:sz w:val="24"/>
          <w:szCs w:val="24"/>
        </w:rPr>
        <w:t xml:space="preserve"> 2020 CDBG-CV allocation is included in the table below of anticipated resources for Program Year 2020-2021.</w:t>
      </w:r>
      <w:r w:rsidRPr="002C1FD9">
        <w:rPr>
          <w:sz w:val="24"/>
          <w:szCs w:val="24"/>
        </w:rPr>
        <w:t xml:space="preserve"> Should additional CDBG-CV funding be made available in the future, this plan will be amended accordingly.</w:t>
      </w:r>
    </w:p>
    <w:p w14:paraId="1EE73B66" w14:textId="77777777" w:rsidR="008607D3" w:rsidRPr="002C1FD9" w:rsidRDefault="000F3005">
      <w:pPr>
        <w:keepNext/>
        <w:widowControl w:val="0"/>
        <w:rPr>
          <w:b/>
          <w:sz w:val="24"/>
          <w:szCs w:val="24"/>
        </w:rPr>
      </w:pPr>
      <w:r w:rsidRPr="002C1FD9">
        <w:rPr>
          <w:b/>
          <w:sz w:val="24"/>
          <w:szCs w:val="24"/>
        </w:rPr>
        <w:t>Anticipated Resources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
        <w:gridCol w:w="851"/>
        <w:gridCol w:w="1525"/>
        <w:gridCol w:w="1114"/>
        <w:gridCol w:w="929"/>
        <w:gridCol w:w="1115"/>
        <w:gridCol w:w="940"/>
        <w:gridCol w:w="1127"/>
        <w:gridCol w:w="1168"/>
      </w:tblGrid>
      <w:tr w:rsidR="002C1FD9" w:rsidRPr="002C1FD9" w14:paraId="401410F9" w14:textId="77777777">
        <w:trPr>
          <w:cantSplit/>
          <w:tblHeader/>
        </w:trPr>
        <w:tc>
          <w:tcPr>
            <w:tcW w:w="1793" w:type="dxa"/>
            <w:vMerge w:val="restart"/>
          </w:tcPr>
          <w:p w14:paraId="1432F95E" w14:textId="77777777" w:rsidR="008607D3" w:rsidRPr="002C1FD9" w:rsidRDefault="000F3005">
            <w:pPr>
              <w:keepNext/>
              <w:widowControl w:val="0"/>
              <w:spacing w:after="0" w:line="240" w:lineRule="auto"/>
              <w:jc w:val="center"/>
              <w:rPr>
                <w:b/>
                <w:sz w:val="24"/>
                <w:szCs w:val="24"/>
              </w:rPr>
            </w:pPr>
            <w:r w:rsidRPr="002C1FD9">
              <w:rPr>
                <w:b/>
                <w:sz w:val="20"/>
                <w:szCs w:val="20"/>
              </w:rPr>
              <w:t>Program</w:t>
            </w:r>
          </w:p>
        </w:tc>
        <w:tc>
          <w:tcPr>
            <w:tcW w:w="820" w:type="dxa"/>
            <w:vMerge w:val="restart"/>
          </w:tcPr>
          <w:p w14:paraId="32351881" w14:textId="77777777" w:rsidR="008607D3" w:rsidRPr="002C1FD9" w:rsidRDefault="000F3005">
            <w:pPr>
              <w:keepNext/>
              <w:widowControl w:val="0"/>
              <w:spacing w:after="0" w:line="240" w:lineRule="auto"/>
              <w:jc w:val="center"/>
              <w:rPr>
                <w:b/>
                <w:sz w:val="24"/>
                <w:szCs w:val="24"/>
              </w:rPr>
            </w:pPr>
            <w:r w:rsidRPr="002C1FD9">
              <w:rPr>
                <w:b/>
                <w:sz w:val="20"/>
                <w:szCs w:val="20"/>
              </w:rPr>
              <w:t>Source of Funds</w:t>
            </w:r>
          </w:p>
        </w:tc>
        <w:tc>
          <w:tcPr>
            <w:tcW w:w="1936" w:type="dxa"/>
            <w:vMerge w:val="restart"/>
          </w:tcPr>
          <w:p w14:paraId="4A217DBE" w14:textId="77777777" w:rsidR="008607D3" w:rsidRPr="002C1FD9" w:rsidRDefault="000F3005">
            <w:pPr>
              <w:keepNext/>
              <w:widowControl w:val="0"/>
              <w:spacing w:after="0" w:line="240" w:lineRule="auto"/>
              <w:jc w:val="center"/>
              <w:rPr>
                <w:b/>
                <w:sz w:val="24"/>
                <w:szCs w:val="24"/>
              </w:rPr>
            </w:pPr>
            <w:r w:rsidRPr="002C1FD9">
              <w:rPr>
                <w:b/>
                <w:sz w:val="20"/>
                <w:szCs w:val="20"/>
              </w:rPr>
              <w:t>Uses of Funds</w:t>
            </w:r>
          </w:p>
        </w:tc>
        <w:tc>
          <w:tcPr>
            <w:tcW w:w="4804" w:type="dxa"/>
            <w:gridSpan w:val="4"/>
          </w:tcPr>
          <w:p w14:paraId="45756458" w14:textId="77777777" w:rsidR="008607D3" w:rsidRPr="002C1FD9" w:rsidRDefault="000F3005">
            <w:pPr>
              <w:keepNext/>
              <w:widowControl w:val="0"/>
              <w:spacing w:after="0" w:line="240" w:lineRule="auto"/>
              <w:jc w:val="center"/>
              <w:rPr>
                <w:b/>
                <w:sz w:val="24"/>
                <w:szCs w:val="24"/>
              </w:rPr>
            </w:pPr>
            <w:r w:rsidRPr="002C1FD9">
              <w:rPr>
                <w:b/>
                <w:bCs/>
                <w:sz w:val="20"/>
                <w:szCs w:val="20"/>
              </w:rPr>
              <w:t>Expected Amount Available Year 1</w:t>
            </w:r>
          </w:p>
        </w:tc>
        <w:tc>
          <w:tcPr>
            <w:tcW w:w="1260" w:type="dxa"/>
            <w:vMerge w:val="restart"/>
          </w:tcPr>
          <w:p w14:paraId="7DE8A0AF" w14:textId="77777777" w:rsidR="008607D3" w:rsidRPr="002C1FD9" w:rsidRDefault="000F3005">
            <w:pPr>
              <w:keepNext/>
              <w:widowControl w:val="0"/>
              <w:spacing w:after="0" w:line="240" w:lineRule="auto"/>
              <w:jc w:val="center"/>
              <w:rPr>
                <w:b/>
                <w:sz w:val="20"/>
                <w:szCs w:val="20"/>
              </w:rPr>
            </w:pPr>
            <w:r w:rsidRPr="002C1FD9">
              <w:rPr>
                <w:b/>
                <w:sz w:val="20"/>
                <w:szCs w:val="20"/>
              </w:rPr>
              <w:t xml:space="preserve">Expected Amount Available Remainder of </w:t>
            </w:r>
            <w:proofErr w:type="spellStart"/>
            <w:r w:rsidRPr="002C1FD9">
              <w:rPr>
                <w:b/>
                <w:sz w:val="20"/>
                <w:szCs w:val="20"/>
              </w:rPr>
              <w:t>ConPlan</w:t>
            </w:r>
            <w:proofErr w:type="spellEnd"/>
            <w:r w:rsidRPr="002C1FD9">
              <w:rPr>
                <w:b/>
                <w:sz w:val="20"/>
                <w:szCs w:val="20"/>
              </w:rPr>
              <w:t xml:space="preserve"> </w:t>
            </w:r>
          </w:p>
          <w:p w14:paraId="50771870" w14:textId="77777777" w:rsidR="008607D3" w:rsidRPr="002C1FD9" w:rsidRDefault="000F3005">
            <w:pPr>
              <w:keepNext/>
              <w:widowControl w:val="0"/>
              <w:spacing w:after="0" w:line="240" w:lineRule="auto"/>
              <w:jc w:val="center"/>
              <w:rPr>
                <w:b/>
                <w:sz w:val="24"/>
                <w:szCs w:val="24"/>
              </w:rPr>
            </w:pPr>
            <w:r w:rsidRPr="002C1FD9">
              <w:rPr>
                <w:b/>
                <w:sz w:val="20"/>
                <w:szCs w:val="20"/>
              </w:rPr>
              <w:t>$</w:t>
            </w:r>
          </w:p>
        </w:tc>
        <w:tc>
          <w:tcPr>
            <w:tcW w:w="2448" w:type="dxa"/>
            <w:vMerge w:val="restart"/>
          </w:tcPr>
          <w:p w14:paraId="081F1737" w14:textId="77777777" w:rsidR="008607D3" w:rsidRPr="002C1FD9" w:rsidRDefault="000F3005">
            <w:pPr>
              <w:keepNext/>
              <w:widowControl w:val="0"/>
              <w:spacing w:after="0" w:line="240" w:lineRule="auto"/>
              <w:jc w:val="center"/>
              <w:rPr>
                <w:b/>
                <w:sz w:val="24"/>
                <w:szCs w:val="24"/>
              </w:rPr>
            </w:pPr>
            <w:r w:rsidRPr="002C1FD9">
              <w:rPr>
                <w:b/>
                <w:sz w:val="20"/>
                <w:szCs w:val="20"/>
              </w:rPr>
              <w:t>Narrative Description</w:t>
            </w:r>
          </w:p>
        </w:tc>
      </w:tr>
      <w:tr w:rsidR="002C1FD9" w:rsidRPr="002C1FD9" w14:paraId="62EF1C00" w14:textId="77777777">
        <w:trPr>
          <w:cantSplit/>
          <w:tblHeader/>
        </w:trPr>
        <w:tc>
          <w:tcPr>
            <w:tcW w:w="1793" w:type="dxa"/>
            <w:vMerge/>
          </w:tcPr>
          <w:p w14:paraId="0A37501D" w14:textId="77777777" w:rsidR="008607D3" w:rsidRPr="002C1FD9" w:rsidRDefault="008607D3">
            <w:pPr>
              <w:keepNext/>
              <w:widowControl w:val="0"/>
              <w:spacing w:after="0" w:line="240" w:lineRule="auto"/>
              <w:jc w:val="center"/>
              <w:rPr>
                <w:b/>
                <w:sz w:val="24"/>
                <w:szCs w:val="24"/>
              </w:rPr>
            </w:pPr>
          </w:p>
        </w:tc>
        <w:tc>
          <w:tcPr>
            <w:tcW w:w="820" w:type="dxa"/>
            <w:vMerge/>
          </w:tcPr>
          <w:p w14:paraId="5DAB6C7B" w14:textId="77777777" w:rsidR="008607D3" w:rsidRPr="002C1FD9" w:rsidRDefault="008607D3">
            <w:pPr>
              <w:keepNext/>
              <w:widowControl w:val="0"/>
              <w:spacing w:after="0" w:line="240" w:lineRule="auto"/>
              <w:jc w:val="center"/>
              <w:rPr>
                <w:b/>
                <w:sz w:val="24"/>
                <w:szCs w:val="24"/>
              </w:rPr>
            </w:pPr>
          </w:p>
        </w:tc>
        <w:tc>
          <w:tcPr>
            <w:tcW w:w="1936" w:type="dxa"/>
            <w:vMerge/>
          </w:tcPr>
          <w:p w14:paraId="02EB378F" w14:textId="77777777" w:rsidR="008607D3" w:rsidRPr="002C1FD9" w:rsidRDefault="008607D3">
            <w:pPr>
              <w:keepNext/>
              <w:widowControl w:val="0"/>
              <w:spacing w:after="0" w:line="240" w:lineRule="auto"/>
              <w:jc w:val="center"/>
              <w:rPr>
                <w:b/>
                <w:sz w:val="24"/>
                <w:szCs w:val="24"/>
              </w:rPr>
            </w:pPr>
          </w:p>
        </w:tc>
        <w:tc>
          <w:tcPr>
            <w:tcW w:w="1204" w:type="dxa"/>
          </w:tcPr>
          <w:p w14:paraId="3D02D031" w14:textId="77777777" w:rsidR="008607D3" w:rsidRPr="002C1FD9" w:rsidRDefault="000F3005">
            <w:pPr>
              <w:keepNext/>
              <w:widowControl w:val="0"/>
              <w:spacing w:after="0" w:line="240" w:lineRule="auto"/>
              <w:jc w:val="center"/>
              <w:rPr>
                <w:b/>
                <w:sz w:val="24"/>
                <w:szCs w:val="24"/>
              </w:rPr>
            </w:pPr>
            <w:r w:rsidRPr="002C1FD9">
              <w:rPr>
                <w:b/>
                <w:sz w:val="20"/>
                <w:szCs w:val="20"/>
              </w:rPr>
              <w:t>Annual Allocation: $</w:t>
            </w:r>
          </w:p>
        </w:tc>
        <w:tc>
          <w:tcPr>
            <w:tcW w:w="1260" w:type="dxa"/>
          </w:tcPr>
          <w:p w14:paraId="4551DEA6" w14:textId="77777777" w:rsidR="008607D3" w:rsidRPr="002C1FD9" w:rsidRDefault="000F3005">
            <w:pPr>
              <w:keepNext/>
              <w:widowControl w:val="0"/>
              <w:spacing w:after="0" w:line="240" w:lineRule="auto"/>
              <w:jc w:val="center"/>
              <w:rPr>
                <w:b/>
                <w:sz w:val="24"/>
                <w:szCs w:val="24"/>
              </w:rPr>
            </w:pPr>
            <w:r w:rsidRPr="002C1FD9">
              <w:rPr>
                <w:b/>
                <w:sz w:val="20"/>
                <w:szCs w:val="20"/>
              </w:rPr>
              <w:t>Program Income: $</w:t>
            </w:r>
          </w:p>
        </w:tc>
        <w:tc>
          <w:tcPr>
            <w:tcW w:w="1260" w:type="dxa"/>
          </w:tcPr>
          <w:p w14:paraId="04D4ADFA" w14:textId="77777777" w:rsidR="008607D3" w:rsidRPr="002C1FD9" w:rsidRDefault="000F3005">
            <w:pPr>
              <w:keepNext/>
              <w:widowControl w:val="0"/>
              <w:spacing w:after="0" w:line="240" w:lineRule="auto"/>
              <w:jc w:val="center"/>
              <w:rPr>
                <w:b/>
                <w:sz w:val="24"/>
                <w:szCs w:val="24"/>
              </w:rPr>
            </w:pPr>
            <w:r w:rsidRPr="002C1FD9">
              <w:rPr>
                <w:b/>
                <w:sz w:val="20"/>
                <w:szCs w:val="20"/>
              </w:rPr>
              <w:t>Prior Year Resources: $</w:t>
            </w:r>
          </w:p>
        </w:tc>
        <w:tc>
          <w:tcPr>
            <w:tcW w:w="1080" w:type="dxa"/>
          </w:tcPr>
          <w:p w14:paraId="7A8483DF" w14:textId="77777777" w:rsidR="008607D3" w:rsidRPr="002C1FD9" w:rsidRDefault="000F3005">
            <w:pPr>
              <w:keepNext/>
              <w:widowControl w:val="0"/>
              <w:spacing w:after="0" w:line="240" w:lineRule="auto"/>
              <w:jc w:val="center"/>
              <w:rPr>
                <w:b/>
                <w:sz w:val="20"/>
                <w:szCs w:val="20"/>
              </w:rPr>
            </w:pPr>
            <w:r w:rsidRPr="002C1FD9">
              <w:rPr>
                <w:b/>
                <w:sz w:val="20"/>
                <w:szCs w:val="20"/>
              </w:rPr>
              <w:t>Total:</w:t>
            </w:r>
          </w:p>
          <w:p w14:paraId="1833FC43" w14:textId="77777777" w:rsidR="008607D3" w:rsidRPr="002C1FD9" w:rsidRDefault="000F3005">
            <w:pPr>
              <w:keepNext/>
              <w:widowControl w:val="0"/>
              <w:spacing w:after="0" w:line="240" w:lineRule="auto"/>
              <w:jc w:val="center"/>
              <w:rPr>
                <w:b/>
                <w:sz w:val="24"/>
                <w:szCs w:val="24"/>
              </w:rPr>
            </w:pPr>
            <w:r w:rsidRPr="002C1FD9">
              <w:rPr>
                <w:b/>
                <w:sz w:val="20"/>
                <w:szCs w:val="20"/>
              </w:rPr>
              <w:t>$</w:t>
            </w:r>
          </w:p>
        </w:tc>
        <w:tc>
          <w:tcPr>
            <w:tcW w:w="1260" w:type="dxa"/>
            <w:vMerge/>
          </w:tcPr>
          <w:p w14:paraId="6A05A809" w14:textId="77777777" w:rsidR="008607D3" w:rsidRPr="002C1FD9" w:rsidRDefault="008607D3">
            <w:pPr>
              <w:keepNext/>
              <w:widowControl w:val="0"/>
              <w:spacing w:after="0" w:line="240" w:lineRule="auto"/>
              <w:jc w:val="center"/>
              <w:rPr>
                <w:b/>
                <w:sz w:val="24"/>
                <w:szCs w:val="24"/>
              </w:rPr>
            </w:pPr>
          </w:p>
        </w:tc>
        <w:tc>
          <w:tcPr>
            <w:tcW w:w="2448" w:type="dxa"/>
            <w:vMerge/>
          </w:tcPr>
          <w:p w14:paraId="5A39BBE3" w14:textId="77777777" w:rsidR="008607D3" w:rsidRPr="002C1FD9" w:rsidRDefault="008607D3">
            <w:pPr>
              <w:keepNext/>
              <w:widowControl w:val="0"/>
              <w:spacing w:after="0" w:line="240" w:lineRule="auto"/>
              <w:jc w:val="center"/>
              <w:rPr>
                <w:b/>
                <w:sz w:val="24"/>
                <w:szCs w:val="24"/>
              </w:rPr>
            </w:pPr>
          </w:p>
        </w:tc>
      </w:tr>
      <w:tr w:rsidR="002C1FD9" w:rsidRPr="002C1FD9" w14:paraId="34A7E2A8" w14:textId="77777777">
        <w:trPr>
          <w:cantSplit/>
        </w:trPr>
        <w:tc>
          <w:tcPr>
            <w:tcW w:w="0" w:type="auto"/>
          </w:tcPr>
          <w:p w14:paraId="3937CB78" w14:textId="77777777" w:rsidR="008607D3" w:rsidRPr="002C1FD9" w:rsidRDefault="000F3005">
            <w:pPr>
              <w:spacing w:beforeAutospacing="1" w:afterAutospacing="1"/>
            </w:pPr>
            <w:r w:rsidRPr="002C1FD9">
              <w:t>CDBG</w:t>
            </w:r>
          </w:p>
        </w:tc>
        <w:tc>
          <w:tcPr>
            <w:tcW w:w="0" w:type="auto"/>
          </w:tcPr>
          <w:p w14:paraId="63067902" w14:textId="77777777" w:rsidR="008607D3" w:rsidRPr="002C1FD9" w:rsidRDefault="000F3005">
            <w:pPr>
              <w:spacing w:beforeAutospacing="1" w:afterAutospacing="1"/>
            </w:pPr>
            <w:r w:rsidRPr="002C1FD9">
              <w:t>public - federal</w:t>
            </w:r>
          </w:p>
        </w:tc>
        <w:tc>
          <w:tcPr>
            <w:tcW w:w="0" w:type="auto"/>
          </w:tcPr>
          <w:p w14:paraId="353AAB18" w14:textId="77777777" w:rsidR="008607D3" w:rsidRPr="002C1FD9" w:rsidRDefault="000F3005">
            <w:pPr>
              <w:spacing w:beforeAutospacing="1" w:afterAutospacing="1"/>
            </w:pPr>
            <w:r w:rsidRPr="002C1FD9">
              <w:t>Acquisition</w:t>
            </w:r>
            <w:r w:rsidRPr="002C1FD9">
              <w:br/>
              <w:t>Admin and Planning</w:t>
            </w:r>
            <w:r w:rsidRPr="002C1FD9">
              <w:br/>
              <w:t>Economic Development</w:t>
            </w:r>
            <w:r w:rsidRPr="002C1FD9">
              <w:br/>
              <w:t>Housing</w:t>
            </w:r>
            <w:r w:rsidRPr="002C1FD9">
              <w:br/>
              <w:t>Public Improvements</w:t>
            </w:r>
            <w:r w:rsidRPr="002C1FD9">
              <w:br/>
              <w:t>Public Services</w:t>
            </w:r>
          </w:p>
        </w:tc>
        <w:tc>
          <w:tcPr>
            <w:tcW w:w="0" w:type="auto"/>
            <w:vAlign w:val="bottom"/>
          </w:tcPr>
          <w:p w14:paraId="5BF435D6" w14:textId="77777777" w:rsidR="008607D3" w:rsidRPr="002C1FD9" w:rsidRDefault="000F3005">
            <w:pPr>
              <w:spacing w:beforeAutospacing="1" w:afterAutospacing="1"/>
              <w:jc w:val="right"/>
            </w:pPr>
            <w:r w:rsidRPr="002C1FD9">
              <w:t>550,000</w:t>
            </w:r>
          </w:p>
        </w:tc>
        <w:tc>
          <w:tcPr>
            <w:tcW w:w="0" w:type="auto"/>
            <w:vAlign w:val="bottom"/>
          </w:tcPr>
          <w:p w14:paraId="6629D347" w14:textId="77777777" w:rsidR="008607D3" w:rsidRPr="002C1FD9" w:rsidRDefault="000F3005">
            <w:pPr>
              <w:spacing w:beforeAutospacing="1" w:afterAutospacing="1"/>
              <w:jc w:val="right"/>
            </w:pPr>
            <w:r w:rsidRPr="002C1FD9">
              <w:t>30,000</w:t>
            </w:r>
          </w:p>
        </w:tc>
        <w:tc>
          <w:tcPr>
            <w:tcW w:w="0" w:type="auto"/>
            <w:vAlign w:val="bottom"/>
          </w:tcPr>
          <w:p w14:paraId="01719986" w14:textId="77777777" w:rsidR="008607D3" w:rsidRPr="002C1FD9" w:rsidRDefault="000F3005">
            <w:pPr>
              <w:spacing w:beforeAutospacing="1" w:afterAutospacing="1"/>
              <w:jc w:val="right"/>
            </w:pPr>
            <w:r w:rsidRPr="002C1FD9">
              <w:t>150,000</w:t>
            </w:r>
          </w:p>
        </w:tc>
        <w:tc>
          <w:tcPr>
            <w:tcW w:w="0" w:type="auto"/>
            <w:vAlign w:val="bottom"/>
          </w:tcPr>
          <w:p w14:paraId="4C05159E" w14:textId="77777777" w:rsidR="008607D3" w:rsidRPr="002C1FD9" w:rsidRDefault="000F3005">
            <w:pPr>
              <w:spacing w:beforeAutospacing="1" w:afterAutospacing="1"/>
              <w:jc w:val="right"/>
            </w:pPr>
            <w:r w:rsidRPr="002C1FD9">
              <w:t>730,000</w:t>
            </w:r>
          </w:p>
        </w:tc>
        <w:tc>
          <w:tcPr>
            <w:tcW w:w="0" w:type="auto"/>
            <w:vAlign w:val="bottom"/>
          </w:tcPr>
          <w:p w14:paraId="0A504E2B" w14:textId="77777777" w:rsidR="008607D3" w:rsidRPr="002C1FD9" w:rsidRDefault="000F3005">
            <w:pPr>
              <w:spacing w:beforeAutospacing="1" w:afterAutospacing="1"/>
              <w:jc w:val="right"/>
            </w:pPr>
            <w:r w:rsidRPr="002C1FD9">
              <w:t>2,320,000</w:t>
            </w:r>
          </w:p>
        </w:tc>
        <w:tc>
          <w:tcPr>
            <w:tcW w:w="0" w:type="auto"/>
          </w:tcPr>
          <w:p w14:paraId="0DFAE634" w14:textId="77777777" w:rsidR="008607D3" w:rsidRPr="002C1FD9" w:rsidRDefault="000F3005">
            <w:pPr>
              <w:spacing w:beforeAutospacing="1" w:afterAutospacing="1"/>
            </w:pPr>
            <w:r w:rsidRPr="002C1FD9">
              <w:t xml:space="preserve">  </w:t>
            </w:r>
          </w:p>
        </w:tc>
      </w:tr>
      <w:tr w:rsidR="002C1FD9" w:rsidRPr="002C1FD9" w14:paraId="4449DC8B" w14:textId="77777777">
        <w:trPr>
          <w:cantSplit/>
        </w:trPr>
        <w:tc>
          <w:tcPr>
            <w:tcW w:w="0" w:type="auto"/>
          </w:tcPr>
          <w:p w14:paraId="1491A3DE" w14:textId="77777777" w:rsidR="008B1337" w:rsidRPr="002C1FD9" w:rsidRDefault="008B1337">
            <w:pPr>
              <w:spacing w:beforeAutospacing="1" w:afterAutospacing="1"/>
            </w:pPr>
            <w:r w:rsidRPr="002C1FD9">
              <w:t>CDBG-CV</w:t>
            </w:r>
          </w:p>
        </w:tc>
        <w:tc>
          <w:tcPr>
            <w:tcW w:w="0" w:type="auto"/>
          </w:tcPr>
          <w:p w14:paraId="5D15ECFC" w14:textId="77777777" w:rsidR="008B1337" w:rsidRPr="002C1FD9" w:rsidRDefault="008B1337">
            <w:pPr>
              <w:spacing w:beforeAutospacing="1" w:afterAutospacing="1"/>
            </w:pPr>
            <w:r w:rsidRPr="002C1FD9">
              <w:t>Public-federal</w:t>
            </w:r>
          </w:p>
        </w:tc>
        <w:tc>
          <w:tcPr>
            <w:tcW w:w="0" w:type="auto"/>
          </w:tcPr>
          <w:p w14:paraId="52838247" w14:textId="77777777" w:rsidR="008B1337" w:rsidRPr="002C1FD9" w:rsidRDefault="008B1337">
            <w:pPr>
              <w:spacing w:beforeAutospacing="1" w:afterAutospacing="1"/>
            </w:pPr>
            <w:r w:rsidRPr="002C1FD9">
              <w:t>Public Services</w:t>
            </w:r>
          </w:p>
          <w:p w14:paraId="0E376152" w14:textId="77777777" w:rsidR="008B1337" w:rsidRPr="002C1FD9" w:rsidRDefault="008B1337">
            <w:pPr>
              <w:spacing w:beforeAutospacing="1" w:afterAutospacing="1"/>
            </w:pPr>
            <w:r w:rsidRPr="002C1FD9">
              <w:t>Economic Development</w:t>
            </w:r>
          </w:p>
        </w:tc>
        <w:tc>
          <w:tcPr>
            <w:tcW w:w="0" w:type="auto"/>
            <w:vAlign w:val="bottom"/>
          </w:tcPr>
          <w:p w14:paraId="4415A0F7" w14:textId="77777777" w:rsidR="008B1337" w:rsidRPr="002C1FD9" w:rsidRDefault="008B1337">
            <w:pPr>
              <w:spacing w:beforeAutospacing="1" w:afterAutospacing="1"/>
              <w:jc w:val="right"/>
            </w:pPr>
            <w:r w:rsidRPr="002C1FD9">
              <w:t>329,114</w:t>
            </w:r>
          </w:p>
        </w:tc>
        <w:tc>
          <w:tcPr>
            <w:tcW w:w="0" w:type="auto"/>
            <w:vAlign w:val="bottom"/>
          </w:tcPr>
          <w:p w14:paraId="4B584315" w14:textId="77777777" w:rsidR="008B1337" w:rsidRPr="002C1FD9" w:rsidRDefault="008B1337">
            <w:pPr>
              <w:spacing w:beforeAutospacing="1" w:afterAutospacing="1"/>
              <w:jc w:val="right"/>
            </w:pPr>
            <w:r w:rsidRPr="002C1FD9">
              <w:t>0</w:t>
            </w:r>
          </w:p>
        </w:tc>
        <w:tc>
          <w:tcPr>
            <w:tcW w:w="0" w:type="auto"/>
            <w:vAlign w:val="bottom"/>
          </w:tcPr>
          <w:p w14:paraId="2322F001" w14:textId="77777777" w:rsidR="008B1337" w:rsidRPr="002C1FD9" w:rsidRDefault="008B1337">
            <w:pPr>
              <w:spacing w:beforeAutospacing="1" w:afterAutospacing="1"/>
              <w:jc w:val="right"/>
            </w:pPr>
            <w:r w:rsidRPr="002C1FD9">
              <w:t>0</w:t>
            </w:r>
          </w:p>
        </w:tc>
        <w:tc>
          <w:tcPr>
            <w:tcW w:w="0" w:type="auto"/>
            <w:vAlign w:val="bottom"/>
          </w:tcPr>
          <w:p w14:paraId="086D664E" w14:textId="77777777" w:rsidR="008B1337" w:rsidRPr="002C1FD9" w:rsidRDefault="008B1337">
            <w:pPr>
              <w:spacing w:beforeAutospacing="1" w:afterAutospacing="1"/>
              <w:jc w:val="right"/>
            </w:pPr>
            <w:r w:rsidRPr="002C1FD9">
              <w:t>329,114</w:t>
            </w:r>
          </w:p>
        </w:tc>
        <w:tc>
          <w:tcPr>
            <w:tcW w:w="0" w:type="auto"/>
            <w:vAlign w:val="bottom"/>
          </w:tcPr>
          <w:p w14:paraId="7B7EFE02" w14:textId="77777777" w:rsidR="008B1337" w:rsidRPr="002C1FD9" w:rsidRDefault="008B1337">
            <w:pPr>
              <w:spacing w:beforeAutospacing="1" w:afterAutospacing="1"/>
              <w:jc w:val="right"/>
            </w:pPr>
            <w:r w:rsidRPr="002C1FD9">
              <w:t>0</w:t>
            </w:r>
          </w:p>
        </w:tc>
        <w:tc>
          <w:tcPr>
            <w:tcW w:w="0" w:type="auto"/>
          </w:tcPr>
          <w:p w14:paraId="41C8F396" w14:textId="77777777" w:rsidR="008B1337" w:rsidRPr="002C1FD9" w:rsidRDefault="008B1337">
            <w:pPr>
              <w:spacing w:beforeAutospacing="1" w:afterAutospacing="1"/>
            </w:pPr>
          </w:p>
        </w:tc>
      </w:tr>
    </w:tbl>
    <w:p w14:paraId="69C62179" w14:textId="77777777" w:rsidR="008607D3" w:rsidRPr="002C1FD9" w:rsidRDefault="000F3005">
      <w:pPr>
        <w:pStyle w:val="Caption"/>
        <w:jc w:val="center"/>
        <w:rPr>
          <w:rFonts w:asciiTheme="minorHAnsi" w:hAnsiTheme="minorHAnsi"/>
        </w:rPr>
      </w:pPr>
      <w:r w:rsidRPr="002C1FD9">
        <w:rPr>
          <w:rFonts w:asciiTheme="minorHAnsi" w:hAnsiTheme="minorHAnsi"/>
        </w:rPr>
        <w:lastRenderedPageBreak/>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1</w:t>
      </w:r>
      <w:r w:rsidRPr="002C1FD9">
        <w:rPr>
          <w:rFonts w:asciiTheme="minorHAnsi" w:hAnsiTheme="minorHAnsi"/>
        </w:rPr>
        <w:fldChar w:fldCharType="end"/>
      </w:r>
      <w:r w:rsidRPr="002C1FD9">
        <w:rPr>
          <w:rFonts w:asciiTheme="minorHAnsi" w:hAnsiTheme="minorHAnsi"/>
        </w:rPr>
        <w:t xml:space="preserve"> - Expected Resources – Priority Table</w:t>
      </w:r>
    </w:p>
    <w:p w14:paraId="72A3D3EC" w14:textId="77777777" w:rsidR="008607D3" w:rsidRPr="002C1FD9" w:rsidRDefault="008607D3">
      <w:pPr>
        <w:spacing w:after="0" w:line="240" w:lineRule="auto"/>
        <w:rPr>
          <w:b/>
          <w:sz w:val="24"/>
          <w:szCs w:val="24"/>
        </w:rPr>
      </w:pPr>
    </w:p>
    <w:p w14:paraId="202F0260" w14:textId="77777777" w:rsidR="008607D3" w:rsidRPr="002C1FD9" w:rsidRDefault="000F3005">
      <w:pPr>
        <w:widowControl w:val="0"/>
        <w:rPr>
          <w:b/>
          <w:sz w:val="24"/>
          <w:szCs w:val="24"/>
        </w:rPr>
      </w:pPr>
      <w:r w:rsidRPr="002C1FD9">
        <w:rPr>
          <w:b/>
          <w:sz w:val="24"/>
          <w:szCs w:val="24"/>
        </w:rPr>
        <w:t>Explain how federal funds will leverage those additional resources (private, state and local funds), including a description of how matching requirements will be satisfied</w:t>
      </w:r>
    </w:p>
    <w:p w14:paraId="4B79CC3B" w14:textId="77777777" w:rsidR="008607D3" w:rsidRPr="002C1FD9" w:rsidRDefault="000F3005" w:rsidP="007979D2">
      <w:pPr>
        <w:widowControl w:val="0"/>
        <w:spacing w:before="100" w:beforeAutospacing="1" w:after="100" w:afterAutospacing="1"/>
        <w:rPr>
          <w:szCs w:val="24"/>
        </w:rPr>
      </w:pPr>
      <w:r w:rsidRPr="002C1FD9">
        <w:t>The City will continue to leverage CDBG funding for housing rehabilitation with Illinois Housing Development (IHDA) funds.  The City currently has two IHDA grants, the Single Family Rehabilitation (SFR) program and Home Accessibility Program (HAP).  When rehabilitation costs are beyond the IHDA program limits, the City utilizes CDBG funds to complete the project.  The City will apply for SFR and HAP funding as it</w:t>
      </w:r>
      <w:r w:rsidR="00067151" w:rsidRPr="002C1FD9">
        <w:t>’</w:t>
      </w:r>
      <w:r w:rsidRPr="002C1FD9">
        <w:t>s made available throughout the Consolidated Plan period.</w:t>
      </w:r>
    </w:p>
    <w:p w14:paraId="54F8D51F" w14:textId="77777777" w:rsidR="008607D3" w:rsidRPr="002C1FD9" w:rsidRDefault="000F3005">
      <w:pPr>
        <w:widowControl w:val="0"/>
        <w:spacing w:beforeAutospacing="1" w:afterAutospacing="1"/>
        <w:rPr>
          <w:szCs w:val="24"/>
        </w:rPr>
      </w:pPr>
      <w:r w:rsidRPr="002C1FD9">
        <w:t>The City receives funding from IHDA’s Abandoned Property Program (APP) as well.  These funds are leveraged with CDBG and City general funds to support maintenance and demolition efforts on vacant, abandoned properties.  Some eligible activities under APP are ineligible under CDBG guidelines and vice versa.  Using both sources of funding allows the City to properly suitably the properties until disposition occurs. The City will apply for APP funding as needed to support the elimination of conditions of slum and blight.</w:t>
      </w:r>
    </w:p>
    <w:p w14:paraId="40602512" w14:textId="169A241B" w:rsidR="008607D3" w:rsidRPr="002C1FD9" w:rsidRDefault="4CD2F424" w:rsidP="4CD2F424">
      <w:pPr>
        <w:widowControl w:val="0"/>
        <w:spacing w:beforeAutospacing="1" w:afterAutospacing="1"/>
      </w:pPr>
      <w:r w:rsidRPr="002C1FD9">
        <w:t xml:space="preserve">The City uses its CDBG public service funds to support Providing Access to Help’s (PATH) Homeless Services Program. PATH utilizes these funds to meet the local match requirements of the Continuum of Care program.  CDBG funds cover a portion of the salary and benefits for Homeless Services Program staff. A portion of the City’s CDBG-CV allocation will be utilized to support direct aid to residents.  The program will be administered through a partnering agency and CDBG-CV funds will be leveraged with other funding sources, utilizing a coordinated entry process, to address unmet needs. </w:t>
      </w:r>
    </w:p>
    <w:p w14:paraId="4FACB9A7" w14:textId="77777777" w:rsidR="00DE34F8" w:rsidRPr="002C1FD9" w:rsidRDefault="000F3005">
      <w:pPr>
        <w:widowControl w:val="0"/>
        <w:spacing w:beforeAutospacing="1" w:afterAutospacing="1"/>
      </w:pPr>
      <w:r w:rsidRPr="002C1FD9">
        <w:t>The City uses its General Fund to cover the cost of staff salary and benefits for the Grants Coordinator, Rehabilitation Specialist and a Support Staff IV position, greatly reducing the administrative and service delivery costs of the program.</w:t>
      </w:r>
    </w:p>
    <w:p w14:paraId="09D15406" w14:textId="77777777" w:rsidR="00DE34F8" w:rsidRPr="002C1FD9" w:rsidRDefault="00DE34F8" w:rsidP="00DE34F8">
      <w:pPr>
        <w:keepNext/>
        <w:widowControl w:val="0"/>
        <w:rPr>
          <w:b/>
          <w:sz w:val="24"/>
          <w:szCs w:val="24"/>
        </w:rPr>
      </w:pPr>
      <w:r w:rsidRPr="002C1FD9">
        <w:rPr>
          <w:b/>
          <w:sz w:val="24"/>
          <w:szCs w:val="24"/>
        </w:rPr>
        <w:t xml:space="preserve">If appropriate, describe </w:t>
      </w:r>
      <w:r w:rsidR="00067151" w:rsidRPr="002C1FD9">
        <w:rPr>
          <w:b/>
          <w:sz w:val="24"/>
          <w:szCs w:val="24"/>
        </w:rPr>
        <w:t>publicly</w:t>
      </w:r>
      <w:r w:rsidRPr="002C1FD9">
        <w:rPr>
          <w:b/>
          <w:sz w:val="24"/>
          <w:szCs w:val="24"/>
        </w:rPr>
        <w:t xml:space="preserve"> owned land or property located within the jurisdiction that may be used to address the needs identified in the plan</w:t>
      </w:r>
    </w:p>
    <w:p w14:paraId="49BD63DC" w14:textId="77777777" w:rsidR="00DE34F8" w:rsidRPr="002C1FD9" w:rsidRDefault="00DE34F8" w:rsidP="00DE34F8">
      <w:pPr>
        <w:keepNext/>
        <w:widowControl w:val="0"/>
        <w:spacing w:beforeAutospacing="1" w:afterAutospacing="1"/>
        <w:rPr>
          <w:szCs w:val="24"/>
        </w:rPr>
      </w:pPr>
      <w:r w:rsidRPr="002C1FD9">
        <w:t>At any given time, the City owns a handful of properties slated for demolition.  Once cleared, the properties are typically donated to Habitat for Humanity for in-fill development of affordable housing. When City-owned housing units do not meet the criteria for demolition, the property is donated to a loc</w:t>
      </w:r>
      <w:r w:rsidR="007B2486" w:rsidRPr="002C1FD9">
        <w:t xml:space="preserve">al not-for-profit such as </w:t>
      </w:r>
      <w:proofErr w:type="spellStart"/>
      <w:r w:rsidR="007B2486" w:rsidRPr="002C1FD9">
        <w:t>YouthB</w:t>
      </w:r>
      <w:r w:rsidRPr="002C1FD9">
        <w:t>uild</w:t>
      </w:r>
      <w:proofErr w:type="spellEnd"/>
      <w:r w:rsidRPr="002C1FD9">
        <w:t xml:space="preserve"> McLean County for rehabilitation and resale to an income-qualified household.  The not-for-profit also has the option of renting to low- or moderate-income households. The City donates non-buildable, vacant lots to not-for-profits for use as green space.  </w:t>
      </w:r>
    </w:p>
    <w:p w14:paraId="4AFE23A4" w14:textId="77777777" w:rsidR="00DE34F8" w:rsidRPr="002C1FD9" w:rsidRDefault="00DE34F8" w:rsidP="00DE34F8">
      <w:pPr>
        <w:keepNext/>
        <w:widowControl w:val="0"/>
        <w:spacing w:line="204" w:lineRule="auto"/>
        <w:rPr>
          <w:b/>
          <w:sz w:val="24"/>
          <w:szCs w:val="24"/>
        </w:rPr>
      </w:pPr>
      <w:r w:rsidRPr="002C1FD9">
        <w:rPr>
          <w:b/>
          <w:sz w:val="24"/>
          <w:szCs w:val="24"/>
        </w:rPr>
        <w:t>Discussion</w:t>
      </w:r>
    </w:p>
    <w:p w14:paraId="2BCFCC6D" w14:textId="77777777" w:rsidR="008607D3" w:rsidRPr="002C1FD9" w:rsidRDefault="00DE34F8" w:rsidP="007979D2">
      <w:pPr>
        <w:keepNext/>
        <w:widowControl w:val="0"/>
        <w:spacing w:beforeAutospacing="1" w:afterAutospacing="1"/>
        <w:rPr>
          <w:b/>
          <w:sz w:val="24"/>
          <w:szCs w:val="24"/>
        </w:rPr>
        <w:sectPr w:rsidR="008607D3" w:rsidRPr="002C1FD9" w:rsidSect="007979D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pPr>
      <w:r w:rsidRPr="002C1FD9">
        <w:t xml:space="preserve">As with most communities, needs are always greater than available funding. The City will continue to </w:t>
      </w:r>
      <w:r w:rsidRPr="002C1FD9">
        <w:lastRenderedPageBreak/>
        <w:t>collaborate with other local agencies, forming partnerships to leverage funding, in an attempt to address some of the most critical needs of the community. We will focus on programs and services that enhance the quality of life for low- and moderate-income residents.  We will also continue to seek non-CDBG funding to meet priority need, as necessary</w:t>
      </w:r>
    </w:p>
    <w:p w14:paraId="555D2CE4" w14:textId="77777777" w:rsidR="008607D3" w:rsidRPr="002C1FD9" w:rsidRDefault="000F3005" w:rsidP="007979D2">
      <w:pPr>
        <w:pStyle w:val="Heading1"/>
        <w:pageBreakBefore/>
        <w:rPr>
          <w:rFonts w:ascii="Calibri" w:hAnsi="Calibri"/>
          <w:color w:val="auto"/>
          <w:sz w:val="32"/>
          <w:szCs w:val="32"/>
        </w:rPr>
      </w:pPr>
      <w:r w:rsidRPr="002C1FD9">
        <w:rPr>
          <w:rFonts w:ascii="Calibri" w:hAnsi="Calibri"/>
          <w:color w:val="auto"/>
          <w:sz w:val="32"/>
          <w:szCs w:val="32"/>
        </w:rPr>
        <w:lastRenderedPageBreak/>
        <w:t>Annual Goals and Objectives</w:t>
      </w:r>
    </w:p>
    <w:p w14:paraId="0D0B940D" w14:textId="77777777" w:rsidR="008607D3" w:rsidRPr="002C1FD9" w:rsidRDefault="008607D3">
      <w:pPr>
        <w:rPr>
          <w:b/>
          <w:sz w:val="28"/>
          <w:szCs w:val="28"/>
        </w:rPr>
      </w:pPr>
    </w:p>
    <w:p w14:paraId="768599A2" w14:textId="77777777" w:rsidR="008607D3" w:rsidRPr="002C1FD9" w:rsidRDefault="000F3005" w:rsidP="007979D2">
      <w:pPr>
        <w:tabs>
          <w:tab w:val="left" w:pos="4625"/>
        </w:tabs>
        <w:rPr>
          <w:b/>
          <w:sz w:val="28"/>
          <w:szCs w:val="28"/>
        </w:rPr>
      </w:pPr>
      <w:r w:rsidRPr="002C1FD9">
        <w:rPr>
          <w:b/>
          <w:sz w:val="28"/>
          <w:szCs w:val="28"/>
        </w:rPr>
        <w:t>AP-20 Annual Goals and Objectives</w:t>
      </w:r>
      <w:r w:rsidR="006F2998" w:rsidRPr="002C1FD9">
        <w:rPr>
          <w:b/>
          <w:sz w:val="28"/>
          <w:szCs w:val="28"/>
        </w:rPr>
        <w:tab/>
      </w:r>
    </w:p>
    <w:p w14:paraId="403D64E1" w14:textId="77777777" w:rsidR="008607D3" w:rsidRPr="002C1FD9" w:rsidRDefault="000F3005">
      <w:pPr>
        <w:keepNext/>
        <w:widowControl w:val="0"/>
        <w:rPr>
          <w:b/>
          <w:sz w:val="24"/>
          <w:szCs w:val="24"/>
        </w:rPr>
      </w:pPr>
      <w:r w:rsidRPr="002C1FD9">
        <w:rPr>
          <w:b/>
          <w:sz w:val="24"/>
          <w:szCs w:val="24"/>
        </w:rPr>
        <w:t>Goals Summary Information</w:t>
      </w:r>
    </w:p>
    <w:tbl>
      <w:tblPr>
        <w:tblW w:w="534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1736"/>
        <w:gridCol w:w="663"/>
        <w:gridCol w:w="663"/>
        <w:gridCol w:w="1750"/>
        <w:gridCol w:w="1703"/>
        <w:gridCol w:w="2506"/>
        <w:gridCol w:w="1205"/>
        <w:gridCol w:w="2777"/>
      </w:tblGrid>
      <w:tr w:rsidR="002C1FD9" w:rsidRPr="002C1FD9" w14:paraId="6EF6C013" w14:textId="77777777">
        <w:trPr>
          <w:cantSplit/>
          <w:trHeight w:val="486"/>
          <w:tblHeader/>
        </w:trPr>
        <w:tc>
          <w:tcPr>
            <w:tcW w:w="1808" w:type="dxa"/>
          </w:tcPr>
          <w:p w14:paraId="51AC9B6C" w14:textId="77777777" w:rsidR="008607D3" w:rsidRPr="002C1FD9" w:rsidRDefault="000F3005">
            <w:pPr>
              <w:keepNext/>
              <w:widowControl w:val="0"/>
              <w:spacing w:after="0" w:line="240" w:lineRule="auto"/>
              <w:jc w:val="center"/>
              <w:rPr>
                <w:b/>
                <w:sz w:val="20"/>
                <w:szCs w:val="20"/>
              </w:rPr>
            </w:pPr>
            <w:r w:rsidRPr="002C1FD9">
              <w:rPr>
                <w:b/>
                <w:sz w:val="20"/>
                <w:szCs w:val="20"/>
              </w:rPr>
              <w:t>Sort Order</w:t>
            </w:r>
          </w:p>
        </w:tc>
        <w:tc>
          <w:tcPr>
            <w:tcW w:w="1809" w:type="dxa"/>
          </w:tcPr>
          <w:p w14:paraId="0B773BA8" w14:textId="77777777" w:rsidR="008607D3" w:rsidRPr="002C1FD9" w:rsidRDefault="000F3005">
            <w:pPr>
              <w:keepNext/>
              <w:widowControl w:val="0"/>
              <w:spacing w:after="0" w:line="240" w:lineRule="auto"/>
              <w:jc w:val="center"/>
              <w:rPr>
                <w:b/>
                <w:sz w:val="20"/>
                <w:szCs w:val="20"/>
              </w:rPr>
            </w:pPr>
            <w:r w:rsidRPr="002C1FD9">
              <w:rPr>
                <w:b/>
                <w:sz w:val="20"/>
                <w:szCs w:val="20"/>
              </w:rPr>
              <w:t>Goal Name</w:t>
            </w:r>
          </w:p>
        </w:tc>
        <w:tc>
          <w:tcPr>
            <w:tcW w:w="582" w:type="dxa"/>
          </w:tcPr>
          <w:p w14:paraId="74A73D60" w14:textId="77777777" w:rsidR="008607D3" w:rsidRPr="002C1FD9" w:rsidRDefault="000F3005">
            <w:pPr>
              <w:keepNext/>
              <w:widowControl w:val="0"/>
              <w:spacing w:after="0" w:line="240" w:lineRule="auto"/>
              <w:jc w:val="center"/>
              <w:rPr>
                <w:b/>
                <w:sz w:val="20"/>
                <w:szCs w:val="20"/>
              </w:rPr>
            </w:pPr>
            <w:r w:rsidRPr="002C1FD9">
              <w:rPr>
                <w:b/>
                <w:sz w:val="20"/>
                <w:szCs w:val="20"/>
              </w:rPr>
              <w:t>Start Year</w:t>
            </w:r>
          </w:p>
        </w:tc>
        <w:tc>
          <w:tcPr>
            <w:tcW w:w="555" w:type="dxa"/>
          </w:tcPr>
          <w:p w14:paraId="5DEF648D" w14:textId="77777777" w:rsidR="008607D3" w:rsidRPr="002C1FD9" w:rsidRDefault="000F3005">
            <w:pPr>
              <w:keepNext/>
              <w:widowControl w:val="0"/>
              <w:spacing w:after="0" w:line="240" w:lineRule="auto"/>
              <w:jc w:val="center"/>
              <w:rPr>
                <w:b/>
                <w:sz w:val="20"/>
                <w:szCs w:val="20"/>
              </w:rPr>
            </w:pPr>
            <w:r w:rsidRPr="002C1FD9">
              <w:rPr>
                <w:b/>
                <w:sz w:val="20"/>
                <w:szCs w:val="20"/>
              </w:rPr>
              <w:t>End Year</w:t>
            </w:r>
          </w:p>
        </w:tc>
        <w:tc>
          <w:tcPr>
            <w:tcW w:w="1236" w:type="dxa"/>
          </w:tcPr>
          <w:p w14:paraId="1E5A74F1" w14:textId="77777777" w:rsidR="008607D3" w:rsidRPr="002C1FD9" w:rsidRDefault="000F3005">
            <w:pPr>
              <w:keepNext/>
              <w:widowControl w:val="0"/>
              <w:spacing w:after="0" w:line="240" w:lineRule="auto"/>
              <w:jc w:val="center"/>
              <w:rPr>
                <w:b/>
                <w:sz w:val="20"/>
                <w:szCs w:val="20"/>
              </w:rPr>
            </w:pPr>
            <w:r w:rsidRPr="002C1FD9">
              <w:rPr>
                <w:b/>
                <w:sz w:val="20"/>
                <w:szCs w:val="20"/>
              </w:rPr>
              <w:t>Category</w:t>
            </w:r>
          </w:p>
        </w:tc>
        <w:tc>
          <w:tcPr>
            <w:tcW w:w="1287" w:type="dxa"/>
          </w:tcPr>
          <w:p w14:paraId="14CBF7A6" w14:textId="77777777" w:rsidR="008607D3" w:rsidRPr="002C1FD9" w:rsidRDefault="000F3005">
            <w:pPr>
              <w:keepNext/>
              <w:widowControl w:val="0"/>
              <w:spacing w:after="0" w:line="240" w:lineRule="auto"/>
              <w:jc w:val="center"/>
              <w:rPr>
                <w:b/>
                <w:sz w:val="20"/>
                <w:szCs w:val="20"/>
              </w:rPr>
            </w:pPr>
            <w:r w:rsidRPr="002C1FD9">
              <w:rPr>
                <w:b/>
                <w:sz w:val="20"/>
                <w:szCs w:val="20"/>
              </w:rPr>
              <w:t>Geographic Area</w:t>
            </w:r>
          </w:p>
        </w:tc>
        <w:tc>
          <w:tcPr>
            <w:tcW w:w="1172" w:type="dxa"/>
          </w:tcPr>
          <w:p w14:paraId="61220A78" w14:textId="77777777" w:rsidR="008607D3" w:rsidRPr="002C1FD9" w:rsidRDefault="000F3005">
            <w:pPr>
              <w:keepNext/>
              <w:widowControl w:val="0"/>
              <w:spacing w:after="0" w:line="240" w:lineRule="auto"/>
              <w:jc w:val="center"/>
              <w:rPr>
                <w:b/>
                <w:sz w:val="20"/>
                <w:szCs w:val="20"/>
              </w:rPr>
            </w:pPr>
            <w:r w:rsidRPr="002C1FD9">
              <w:rPr>
                <w:b/>
                <w:sz w:val="20"/>
                <w:szCs w:val="20"/>
              </w:rPr>
              <w:t>Needs Addressed</w:t>
            </w:r>
          </w:p>
        </w:tc>
        <w:tc>
          <w:tcPr>
            <w:tcW w:w="2345" w:type="dxa"/>
          </w:tcPr>
          <w:p w14:paraId="6CC25542" w14:textId="77777777" w:rsidR="008607D3" w:rsidRPr="002C1FD9" w:rsidRDefault="000F3005">
            <w:pPr>
              <w:keepNext/>
              <w:widowControl w:val="0"/>
              <w:spacing w:after="0" w:line="240" w:lineRule="auto"/>
              <w:jc w:val="center"/>
              <w:rPr>
                <w:b/>
                <w:sz w:val="20"/>
                <w:szCs w:val="20"/>
              </w:rPr>
            </w:pPr>
            <w:r w:rsidRPr="002C1FD9">
              <w:rPr>
                <w:b/>
                <w:sz w:val="20"/>
                <w:szCs w:val="20"/>
              </w:rPr>
              <w:t>Funding</w:t>
            </w:r>
          </w:p>
        </w:tc>
        <w:tc>
          <w:tcPr>
            <w:tcW w:w="3283" w:type="dxa"/>
          </w:tcPr>
          <w:p w14:paraId="3456C861" w14:textId="77777777" w:rsidR="008607D3" w:rsidRPr="002C1FD9" w:rsidRDefault="000F3005">
            <w:pPr>
              <w:keepNext/>
              <w:widowControl w:val="0"/>
              <w:spacing w:after="0" w:line="240" w:lineRule="auto"/>
              <w:jc w:val="center"/>
              <w:rPr>
                <w:b/>
                <w:sz w:val="20"/>
                <w:szCs w:val="20"/>
              </w:rPr>
            </w:pPr>
            <w:r w:rsidRPr="002C1FD9">
              <w:rPr>
                <w:b/>
                <w:sz w:val="20"/>
                <w:szCs w:val="20"/>
              </w:rPr>
              <w:t>Goal Outcome Indicator</w:t>
            </w:r>
          </w:p>
        </w:tc>
      </w:tr>
      <w:tr w:rsidR="002C1FD9" w:rsidRPr="002C1FD9" w14:paraId="620BEE32" w14:textId="77777777">
        <w:trPr>
          <w:cantSplit/>
        </w:trPr>
        <w:tc>
          <w:tcPr>
            <w:tcW w:w="0" w:type="auto"/>
          </w:tcPr>
          <w:p w14:paraId="649841BE" w14:textId="77777777" w:rsidR="008607D3" w:rsidRPr="002C1FD9" w:rsidRDefault="000F3005">
            <w:pPr>
              <w:spacing w:beforeAutospacing="1" w:afterAutospacing="1"/>
            </w:pPr>
            <w:r w:rsidRPr="002C1FD9">
              <w:rPr>
                <w:b/>
              </w:rPr>
              <w:t>1</w:t>
            </w:r>
          </w:p>
        </w:tc>
        <w:tc>
          <w:tcPr>
            <w:tcW w:w="0" w:type="auto"/>
          </w:tcPr>
          <w:p w14:paraId="17D50BD2" w14:textId="77777777" w:rsidR="008607D3" w:rsidRPr="002C1FD9" w:rsidRDefault="000F3005">
            <w:pPr>
              <w:spacing w:beforeAutospacing="1" w:afterAutospacing="1"/>
            </w:pPr>
            <w:r w:rsidRPr="002C1FD9">
              <w:t>Preservation of existing affordable housing stock.</w:t>
            </w:r>
          </w:p>
        </w:tc>
        <w:tc>
          <w:tcPr>
            <w:tcW w:w="0" w:type="auto"/>
          </w:tcPr>
          <w:p w14:paraId="42B71CCD" w14:textId="77777777" w:rsidR="008607D3" w:rsidRPr="002C1FD9" w:rsidRDefault="000F3005">
            <w:pPr>
              <w:spacing w:beforeAutospacing="1" w:afterAutospacing="1"/>
              <w:jc w:val="right"/>
            </w:pPr>
            <w:r w:rsidRPr="002C1FD9">
              <w:t>2020</w:t>
            </w:r>
          </w:p>
        </w:tc>
        <w:tc>
          <w:tcPr>
            <w:tcW w:w="0" w:type="auto"/>
          </w:tcPr>
          <w:p w14:paraId="3C04FD3E" w14:textId="77777777" w:rsidR="008607D3" w:rsidRPr="002C1FD9" w:rsidRDefault="000F3005">
            <w:pPr>
              <w:spacing w:beforeAutospacing="1" w:afterAutospacing="1"/>
              <w:jc w:val="right"/>
            </w:pPr>
            <w:r w:rsidRPr="002C1FD9">
              <w:t>2024</w:t>
            </w:r>
          </w:p>
        </w:tc>
        <w:tc>
          <w:tcPr>
            <w:tcW w:w="0" w:type="auto"/>
          </w:tcPr>
          <w:p w14:paraId="6A97A9F3" w14:textId="77777777" w:rsidR="008607D3" w:rsidRPr="002C1FD9" w:rsidRDefault="000F3005">
            <w:pPr>
              <w:spacing w:beforeAutospacing="1" w:afterAutospacing="1"/>
            </w:pPr>
            <w:r w:rsidRPr="002C1FD9">
              <w:t>Affordable Housing</w:t>
            </w:r>
            <w:r w:rsidRPr="002C1FD9">
              <w:br/>
              <w:t>Public Housing</w:t>
            </w:r>
          </w:p>
        </w:tc>
        <w:tc>
          <w:tcPr>
            <w:tcW w:w="0" w:type="auto"/>
          </w:tcPr>
          <w:p w14:paraId="5FECC5D2" w14:textId="77777777" w:rsidR="008607D3" w:rsidRPr="002C1FD9" w:rsidRDefault="000F3005">
            <w:pPr>
              <w:spacing w:beforeAutospacing="1" w:afterAutospacing="1"/>
            </w:pPr>
            <w:r w:rsidRPr="002C1FD9">
              <w:t>LMA Preservation Area</w:t>
            </w:r>
            <w:r w:rsidRPr="002C1FD9">
              <w:br/>
              <w:t>WBRP Service Area</w:t>
            </w:r>
            <w:r w:rsidRPr="002C1FD9">
              <w:br/>
              <w:t>LMA Regeneration Area - Outside WBRP</w:t>
            </w:r>
          </w:p>
        </w:tc>
        <w:tc>
          <w:tcPr>
            <w:tcW w:w="0" w:type="auto"/>
          </w:tcPr>
          <w:p w14:paraId="641F6FCA" w14:textId="77777777" w:rsidR="008607D3" w:rsidRPr="002C1FD9" w:rsidRDefault="000F3005">
            <w:pPr>
              <w:spacing w:beforeAutospacing="1" w:afterAutospacing="1"/>
            </w:pPr>
            <w:r w:rsidRPr="002C1FD9">
              <w:t>Accessibility Improvements</w:t>
            </w:r>
            <w:r w:rsidRPr="002C1FD9">
              <w:br/>
              <w:t>Affordable Housing Preservation</w:t>
            </w:r>
          </w:p>
        </w:tc>
        <w:tc>
          <w:tcPr>
            <w:tcW w:w="0" w:type="auto"/>
          </w:tcPr>
          <w:p w14:paraId="5F8D0A48" w14:textId="77777777" w:rsidR="008607D3" w:rsidRPr="002C1FD9" w:rsidRDefault="000F3005" w:rsidP="006A360F">
            <w:pPr>
              <w:spacing w:beforeAutospacing="1" w:afterAutospacing="1"/>
              <w:jc w:val="right"/>
            </w:pPr>
            <w:r w:rsidRPr="002C1FD9">
              <w:t>CDBG: $</w:t>
            </w:r>
            <w:r w:rsidR="006A360F" w:rsidRPr="002C1FD9">
              <w:t>252,850</w:t>
            </w:r>
          </w:p>
        </w:tc>
        <w:tc>
          <w:tcPr>
            <w:tcW w:w="0" w:type="auto"/>
          </w:tcPr>
          <w:p w14:paraId="7ECE7076" w14:textId="77777777" w:rsidR="008607D3" w:rsidRPr="002C1FD9" w:rsidRDefault="000F3005">
            <w:pPr>
              <w:spacing w:beforeAutospacing="1" w:afterAutospacing="1"/>
            </w:pPr>
            <w:r w:rsidRPr="002C1FD9">
              <w:t>Rental units rehabilitated: 16 Household Housing Unit</w:t>
            </w:r>
            <w:r w:rsidRPr="002C1FD9">
              <w:br/>
              <w:t>Homeowner Housing Rehabilitated: 25 Household Housing Unit</w:t>
            </w:r>
          </w:p>
        </w:tc>
      </w:tr>
      <w:tr w:rsidR="002C1FD9" w:rsidRPr="002C1FD9" w14:paraId="14B2AE30" w14:textId="77777777">
        <w:trPr>
          <w:cantSplit/>
        </w:trPr>
        <w:tc>
          <w:tcPr>
            <w:tcW w:w="0" w:type="auto"/>
          </w:tcPr>
          <w:p w14:paraId="18F999B5" w14:textId="77777777" w:rsidR="008607D3" w:rsidRPr="002C1FD9" w:rsidRDefault="000F3005">
            <w:pPr>
              <w:spacing w:beforeAutospacing="1" w:afterAutospacing="1"/>
            </w:pPr>
            <w:r w:rsidRPr="002C1FD9">
              <w:rPr>
                <w:b/>
              </w:rPr>
              <w:t>2</w:t>
            </w:r>
          </w:p>
        </w:tc>
        <w:tc>
          <w:tcPr>
            <w:tcW w:w="0" w:type="auto"/>
          </w:tcPr>
          <w:p w14:paraId="3B52A939" w14:textId="77777777" w:rsidR="008607D3" w:rsidRPr="002C1FD9" w:rsidRDefault="000F3005">
            <w:pPr>
              <w:spacing w:beforeAutospacing="1" w:afterAutospacing="1"/>
            </w:pPr>
            <w:r w:rsidRPr="002C1FD9">
              <w:t>Elimination of slum and blight conditions.</w:t>
            </w:r>
          </w:p>
        </w:tc>
        <w:tc>
          <w:tcPr>
            <w:tcW w:w="0" w:type="auto"/>
          </w:tcPr>
          <w:p w14:paraId="77F781D2" w14:textId="77777777" w:rsidR="008607D3" w:rsidRPr="002C1FD9" w:rsidRDefault="000F3005">
            <w:pPr>
              <w:spacing w:beforeAutospacing="1" w:afterAutospacing="1"/>
              <w:jc w:val="right"/>
            </w:pPr>
            <w:r w:rsidRPr="002C1FD9">
              <w:t>2020</w:t>
            </w:r>
          </w:p>
        </w:tc>
        <w:tc>
          <w:tcPr>
            <w:tcW w:w="0" w:type="auto"/>
          </w:tcPr>
          <w:p w14:paraId="46C646BA" w14:textId="77777777" w:rsidR="008607D3" w:rsidRPr="002C1FD9" w:rsidRDefault="000F3005">
            <w:pPr>
              <w:spacing w:beforeAutospacing="1" w:afterAutospacing="1"/>
              <w:jc w:val="right"/>
            </w:pPr>
            <w:r w:rsidRPr="002C1FD9">
              <w:t>2024</w:t>
            </w:r>
          </w:p>
        </w:tc>
        <w:tc>
          <w:tcPr>
            <w:tcW w:w="0" w:type="auto"/>
          </w:tcPr>
          <w:p w14:paraId="2F31E8DB" w14:textId="77777777" w:rsidR="008607D3" w:rsidRPr="002C1FD9" w:rsidRDefault="000F3005">
            <w:pPr>
              <w:spacing w:beforeAutospacing="1" w:afterAutospacing="1"/>
            </w:pPr>
            <w:r w:rsidRPr="002C1FD9">
              <w:t>Affordable Housing</w:t>
            </w:r>
            <w:r w:rsidRPr="002C1FD9">
              <w:br/>
              <w:t>Non-Housing Community Development</w:t>
            </w:r>
          </w:p>
        </w:tc>
        <w:tc>
          <w:tcPr>
            <w:tcW w:w="0" w:type="auto"/>
          </w:tcPr>
          <w:p w14:paraId="4513AF15" w14:textId="77777777" w:rsidR="008607D3" w:rsidRPr="002C1FD9" w:rsidRDefault="000F3005">
            <w:pPr>
              <w:spacing w:beforeAutospacing="1" w:afterAutospacing="1"/>
            </w:pPr>
            <w:r w:rsidRPr="002C1FD9">
              <w:t>LMA Preservation Area</w:t>
            </w:r>
            <w:r w:rsidRPr="002C1FD9">
              <w:br/>
              <w:t>WBRP Service Area</w:t>
            </w:r>
            <w:r w:rsidRPr="002C1FD9">
              <w:br/>
              <w:t>LMA Regeneration Area - Outside WBRP</w:t>
            </w:r>
          </w:p>
        </w:tc>
        <w:tc>
          <w:tcPr>
            <w:tcW w:w="0" w:type="auto"/>
          </w:tcPr>
          <w:p w14:paraId="3ABCEE92" w14:textId="77777777" w:rsidR="008607D3" w:rsidRPr="002C1FD9" w:rsidRDefault="000F3005">
            <w:pPr>
              <w:spacing w:beforeAutospacing="1" w:afterAutospacing="1"/>
            </w:pPr>
            <w:r w:rsidRPr="002C1FD9">
              <w:t>Crime Prevention and Awareness</w:t>
            </w:r>
            <w:r w:rsidRPr="002C1FD9">
              <w:br/>
              <w:t>Affordable Housing Preservation</w:t>
            </w:r>
          </w:p>
        </w:tc>
        <w:tc>
          <w:tcPr>
            <w:tcW w:w="0" w:type="auto"/>
          </w:tcPr>
          <w:p w14:paraId="57C9C263" w14:textId="77777777" w:rsidR="008607D3" w:rsidRPr="002C1FD9" w:rsidRDefault="000F3005" w:rsidP="006A360F">
            <w:pPr>
              <w:spacing w:beforeAutospacing="1" w:afterAutospacing="1"/>
              <w:jc w:val="right"/>
            </w:pPr>
            <w:r w:rsidRPr="002C1FD9">
              <w:t>CDBG: $</w:t>
            </w:r>
            <w:r w:rsidR="006A360F" w:rsidRPr="002C1FD9">
              <w:t>180,000</w:t>
            </w:r>
          </w:p>
        </w:tc>
        <w:tc>
          <w:tcPr>
            <w:tcW w:w="0" w:type="auto"/>
          </w:tcPr>
          <w:p w14:paraId="20A2BB85" w14:textId="77777777" w:rsidR="008607D3" w:rsidRPr="002C1FD9" w:rsidRDefault="000F3005">
            <w:pPr>
              <w:spacing w:beforeAutospacing="1" w:afterAutospacing="1"/>
            </w:pPr>
            <w:r w:rsidRPr="002C1FD9">
              <w:t>Homeowner Housing Added: 3 Household Housing Unit</w:t>
            </w:r>
            <w:r w:rsidRPr="002C1FD9">
              <w:br/>
              <w:t>Buildings Demolished: 2 Buildings</w:t>
            </w:r>
          </w:p>
        </w:tc>
      </w:tr>
      <w:tr w:rsidR="002C1FD9" w:rsidRPr="002C1FD9" w14:paraId="0956E3F6" w14:textId="77777777">
        <w:trPr>
          <w:cantSplit/>
        </w:trPr>
        <w:tc>
          <w:tcPr>
            <w:tcW w:w="0" w:type="auto"/>
          </w:tcPr>
          <w:p w14:paraId="5FCD5EC4" w14:textId="77777777" w:rsidR="008607D3" w:rsidRPr="002C1FD9" w:rsidRDefault="000F3005">
            <w:pPr>
              <w:spacing w:beforeAutospacing="1" w:afterAutospacing="1"/>
            </w:pPr>
            <w:r w:rsidRPr="002C1FD9">
              <w:rPr>
                <w:b/>
              </w:rPr>
              <w:lastRenderedPageBreak/>
              <w:t>3</w:t>
            </w:r>
          </w:p>
        </w:tc>
        <w:tc>
          <w:tcPr>
            <w:tcW w:w="0" w:type="auto"/>
          </w:tcPr>
          <w:p w14:paraId="3B7F896B" w14:textId="77777777" w:rsidR="008607D3" w:rsidRPr="002C1FD9" w:rsidRDefault="000F3005">
            <w:pPr>
              <w:spacing w:beforeAutospacing="1" w:afterAutospacing="1"/>
            </w:pPr>
            <w:r w:rsidRPr="002C1FD9">
              <w:t>Support the provision of public service activities</w:t>
            </w:r>
          </w:p>
        </w:tc>
        <w:tc>
          <w:tcPr>
            <w:tcW w:w="0" w:type="auto"/>
          </w:tcPr>
          <w:p w14:paraId="30C877E0" w14:textId="77777777" w:rsidR="008607D3" w:rsidRPr="002C1FD9" w:rsidRDefault="000F3005">
            <w:pPr>
              <w:spacing w:beforeAutospacing="1" w:afterAutospacing="1"/>
              <w:jc w:val="right"/>
            </w:pPr>
            <w:r w:rsidRPr="002C1FD9">
              <w:t>2020</w:t>
            </w:r>
          </w:p>
        </w:tc>
        <w:tc>
          <w:tcPr>
            <w:tcW w:w="0" w:type="auto"/>
          </w:tcPr>
          <w:p w14:paraId="560B5D26" w14:textId="77777777" w:rsidR="008607D3" w:rsidRPr="002C1FD9" w:rsidRDefault="000F3005">
            <w:pPr>
              <w:spacing w:beforeAutospacing="1" w:afterAutospacing="1"/>
              <w:jc w:val="right"/>
            </w:pPr>
            <w:r w:rsidRPr="002C1FD9">
              <w:t>2024</w:t>
            </w:r>
          </w:p>
        </w:tc>
        <w:tc>
          <w:tcPr>
            <w:tcW w:w="0" w:type="auto"/>
          </w:tcPr>
          <w:p w14:paraId="136DBC34" w14:textId="77777777" w:rsidR="008607D3" w:rsidRPr="002C1FD9" w:rsidRDefault="000F3005">
            <w:pPr>
              <w:spacing w:beforeAutospacing="1" w:afterAutospacing="1"/>
            </w:pPr>
            <w:r w:rsidRPr="002C1FD9">
              <w:t>Homeless</w:t>
            </w:r>
            <w:r w:rsidRPr="002C1FD9">
              <w:br/>
              <w:t>Non-Homeless Special Needs</w:t>
            </w:r>
            <w:r w:rsidRPr="002C1FD9">
              <w:br/>
              <w:t>Non-Housing Community Development</w:t>
            </w:r>
          </w:p>
        </w:tc>
        <w:tc>
          <w:tcPr>
            <w:tcW w:w="0" w:type="auto"/>
          </w:tcPr>
          <w:p w14:paraId="36E59F25" w14:textId="77777777" w:rsidR="008607D3" w:rsidRPr="002C1FD9" w:rsidRDefault="000F3005">
            <w:pPr>
              <w:spacing w:beforeAutospacing="1" w:afterAutospacing="1"/>
            </w:pPr>
            <w:r w:rsidRPr="002C1FD9">
              <w:t>LMA Preservation Area</w:t>
            </w:r>
            <w:r w:rsidRPr="002C1FD9">
              <w:br/>
              <w:t>WBRP Service Area</w:t>
            </w:r>
            <w:r w:rsidRPr="002C1FD9">
              <w:br/>
              <w:t>LMA Regeneration Area - Outside WBRP</w:t>
            </w:r>
          </w:p>
        </w:tc>
        <w:tc>
          <w:tcPr>
            <w:tcW w:w="0" w:type="auto"/>
          </w:tcPr>
          <w:p w14:paraId="258A28D2" w14:textId="77777777" w:rsidR="008607D3" w:rsidRPr="002C1FD9" w:rsidRDefault="000F3005">
            <w:pPr>
              <w:spacing w:beforeAutospacing="1" w:afterAutospacing="1"/>
            </w:pPr>
            <w:r w:rsidRPr="002C1FD9">
              <w:t>Job Training and Workforce Development</w:t>
            </w:r>
            <w:r w:rsidRPr="002C1FD9">
              <w:br/>
              <w:t>Homeless Services</w:t>
            </w:r>
            <w:r w:rsidRPr="002C1FD9">
              <w:br/>
              <w:t>Renter Assistance</w:t>
            </w:r>
            <w:r w:rsidRPr="002C1FD9">
              <w:br/>
              <w:t>Senior Services</w:t>
            </w:r>
          </w:p>
        </w:tc>
        <w:tc>
          <w:tcPr>
            <w:tcW w:w="0" w:type="auto"/>
          </w:tcPr>
          <w:p w14:paraId="20544773" w14:textId="77777777" w:rsidR="008607D3" w:rsidRPr="002C1FD9" w:rsidRDefault="000F3005">
            <w:pPr>
              <w:spacing w:beforeAutospacing="1" w:afterAutospacing="1"/>
              <w:jc w:val="right"/>
            </w:pPr>
            <w:r w:rsidRPr="002C1FD9">
              <w:t>CDBG: $84,744</w:t>
            </w:r>
          </w:p>
        </w:tc>
        <w:tc>
          <w:tcPr>
            <w:tcW w:w="0" w:type="auto"/>
          </w:tcPr>
          <w:p w14:paraId="18E5D749" w14:textId="77777777" w:rsidR="008607D3" w:rsidRPr="002C1FD9" w:rsidRDefault="000F3005">
            <w:pPr>
              <w:spacing w:beforeAutospacing="1" w:afterAutospacing="1"/>
            </w:pPr>
            <w:r w:rsidRPr="002C1FD9">
              <w:t>Public service activities other than Low/Moderate Income Housing Benefit: 1280 Persons Assisted</w:t>
            </w:r>
            <w:r w:rsidRPr="002C1FD9">
              <w:br/>
              <w:t>Homelessness Prevention: 220 Persons Assisted</w:t>
            </w:r>
          </w:p>
        </w:tc>
      </w:tr>
      <w:tr w:rsidR="002C1FD9" w:rsidRPr="002C1FD9" w14:paraId="4F88CCDC" w14:textId="77777777">
        <w:trPr>
          <w:cantSplit/>
        </w:trPr>
        <w:tc>
          <w:tcPr>
            <w:tcW w:w="0" w:type="auto"/>
          </w:tcPr>
          <w:p w14:paraId="2598DEE6" w14:textId="77777777" w:rsidR="008607D3" w:rsidRPr="002C1FD9" w:rsidRDefault="000F3005">
            <w:pPr>
              <w:spacing w:beforeAutospacing="1" w:afterAutospacing="1"/>
            </w:pPr>
            <w:r w:rsidRPr="002C1FD9">
              <w:rPr>
                <w:b/>
              </w:rPr>
              <w:t>4</w:t>
            </w:r>
          </w:p>
        </w:tc>
        <w:tc>
          <w:tcPr>
            <w:tcW w:w="0" w:type="auto"/>
          </w:tcPr>
          <w:p w14:paraId="3C04B7FF" w14:textId="77777777" w:rsidR="008607D3" w:rsidRPr="002C1FD9" w:rsidRDefault="000F3005">
            <w:pPr>
              <w:spacing w:beforeAutospacing="1" w:afterAutospacing="1"/>
            </w:pPr>
            <w:r w:rsidRPr="002C1FD9">
              <w:t>Provide quality services and facilities.</w:t>
            </w:r>
          </w:p>
        </w:tc>
        <w:tc>
          <w:tcPr>
            <w:tcW w:w="0" w:type="auto"/>
          </w:tcPr>
          <w:p w14:paraId="6458ECF6" w14:textId="77777777" w:rsidR="008607D3" w:rsidRPr="002C1FD9" w:rsidRDefault="000F3005">
            <w:pPr>
              <w:spacing w:beforeAutospacing="1" w:afterAutospacing="1"/>
              <w:jc w:val="right"/>
            </w:pPr>
            <w:r w:rsidRPr="002C1FD9">
              <w:t>2020</w:t>
            </w:r>
          </w:p>
        </w:tc>
        <w:tc>
          <w:tcPr>
            <w:tcW w:w="0" w:type="auto"/>
          </w:tcPr>
          <w:p w14:paraId="7EEB8710" w14:textId="77777777" w:rsidR="008607D3" w:rsidRPr="002C1FD9" w:rsidRDefault="000F3005">
            <w:pPr>
              <w:spacing w:beforeAutospacing="1" w:afterAutospacing="1"/>
              <w:jc w:val="right"/>
            </w:pPr>
            <w:r w:rsidRPr="002C1FD9">
              <w:t>2024</w:t>
            </w:r>
          </w:p>
        </w:tc>
        <w:tc>
          <w:tcPr>
            <w:tcW w:w="0" w:type="auto"/>
          </w:tcPr>
          <w:p w14:paraId="1C1CA926" w14:textId="77777777" w:rsidR="008607D3" w:rsidRPr="002C1FD9" w:rsidRDefault="000F3005">
            <w:pPr>
              <w:spacing w:beforeAutospacing="1" w:afterAutospacing="1"/>
            </w:pPr>
            <w:r w:rsidRPr="002C1FD9">
              <w:t>Non-Homeless Special Needs</w:t>
            </w:r>
            <w:r w:rsidRPr="002C1FD9">
              <w:br/>
              <w:t>Non-Housing Community Development</w:t>
            </w:r>
          </w:p>
        </w:tc>
        <w:tc>
          <w:tcPr>
            <w:tcW w:w="0" w:type="auto"/>
          </w:tcPr>
          <w:p w14:paraId="33FD157E" w14:textId="77777777" w:rsidR="008607D3" w:rsidRPr="002C1FD9" w:rsidRDefault="000F3005">
            <w:pPr>
              <w:spacing w:beforeAutospacing="1" w:afterAutospacing="1"/>
            </w:pPr>
            <w:r w:rsidRPr="002C1FD9">
              <w:t>WBRP Service Area</w:t>
            </w:r>
            <w:r w:rsidRPr="002C1FD9">
              <w:br/>
              <w:t>LMA Regeneration Area - Outside WBRP</w:t>
            </w:r>
          </w:p>
        </w:tc>
        <w:tc>
          <w:tcPr>
            <w:tcW w:w="0" w:type="auto"/>
          </w:tcPr>
          <w:p w14:paraId="5E0FEF12" w14:textId="77777777" w:rsidR="008607D3" w:rsidRPr="002C1FD9" w:rsidRDefault="000F3005">
            <w:pPr>
              <w:spacing w:beforeAutospacing="1" w:afterAutospacing="1"/>
            </w:pPr>
            <w:r w:rsidRPr="002C1FD9">
              <w:t>Job Training and Workforce Development</w:t>
            </w:r>
            <w:r w:rsidRPr="002C1FD9">
              <w:br/>
              <w:t>Renter Assistance</w:t>
            </w:r>
            <w:r w:rsidRPr="002C1FD9">
              <w:br/>
              <w:t>Accessibility Improvements</w:t>
            </w:r>
            <w:r w:rsidRPr="002C1FD9">
              <w:br/>
              <w:t>Parks and Community/Recreation Centers</w:t>
            </w:r>
            <w:r w:rsidRPr="002C1FD9">
              <w:br/>
              <w:t>Sidewalk Improvements</w:t>
            </w:r>
          </w:p>
        </w:tc>
        <w:tc>
          <w:tcPr>
            <w:tcW w:w="0" w:type="auto"/>
          </w:tcPr>
          <w:p w14:paraId="3A5547FD" w14:textId="77777777" w:rsidR="008607D3" w:rsidRPr="002C1FD9" w:rsidRDefault="000F3005" w:rsidP="006A360F">
            <w:pPr>
              <w:spacing w:beforeAutospacing="1" w:afterAutospacing="1"/>
              <w:jc w:val="right"/>
            </w:pPr>
            <w:r w:rsidRPr="002C1FD9">
              <w:t>CDBG: $</w:t>
            </w:r>
            <w:r w:rsidR="006A360F" w:rsidRPr="002C1FD9">
              <w:t>190,000</w:t>
            </w:r>
          </w:p>
        </w:tc>
        <w:tc>
          <w:tcPr>
            <w:tcW w:w="0" w:type="auto"/>
          </w:tcPr>
          <w:p w14:paraId="53D9CB55" w14:textId="77777777" w:rsidR="008607D3" w:rsidRPr="002C1FD9" w:rsidRDefault="000F3005">
            <w:pPr>
              <w:spacing w:beforeAutospacing="1" w:afterAutospacing="1"/>
            </w:pPr>
            <w:r w:rsidRPr="002C1FD9">
              <w:t>Public Facility or Infrastructure Activities other than Low/Moderate Income Housing Benefit: 4800 Persons Assisted</w:t>
            </w:r>
          </w:p>
        </w:tc>
      </w:tr>
      <w:tr w:rsidR="002C1FD9" w:rsidRPr="002C1FD9" w14:paraId="4AB9D3D5" w14:textId="77777777">
        <w:trPr>
          <w:cantSplit/>
        </w:trPr>
        <w:tc>
          <w:tcPr>
            <w:tcW w:w="0" w:type="auto"/>
          </w:tcPr>
          <w:p w14:paraId="78941E47" w14:textId="77777777" w:rsidR="008607D3" w:rsidRPr="002C1FD9" w:rsidRDefault="000F3005">
            <w:pPr>
              <w:spacing w:beforeAutospacing="1" w:afterAutospacing="1"/>
            </w:pPr>
            <w:r w:rsidRPr="002C1FD9">
              <w:rPr>
                <w:b/>
              </w:rPr>
              <w:t>5</w:t>
            </w:r>
          </w:p>
        </w:tc>
        <w:tc>
          <w:tcPr>
            <w:tcW w:w="0" w:type="auto"/>
          </w:tcPr>
          <w:p w14:paraId="1833B626" w14:textId="77777777" w:rsidR="008607D3" w:rsidRPr="002C1FD9" w:rsidRDefault="000F3005">
            <w:pPr>
              <w:spacing w:beforeAutospacing="1" w:afterAutospacing="1"/>
            </w:pPr>
            <w:r w:rsidRPr="002C1FD9">
              <w:t>Administer CDBG effectively and proficiently.</w:t>
            </w:r>
          </w:p>
        </w:tc>
        <w:tc>
          <w:tcPr>
            <w:tcW w:w="0" w:type="auto"/>
          </w:tcPr>
          <w:p w14:paraId="12406FD9" w14:textId="77777777" w:rsidR="008607D3" w:rsidRPr="002C1FD9" w:rsidRDefault="000F3005">
            <w:pPr>
              <w:spacing w:beforeAutospacing="1" w:afterAutospacing="1"/>
              <w:jc w:val="right"/>
            </w:pPr>
            <w:r w:rsidRPr="002C1FD9">
              <w:t>2020</w:t>
            </w:r>
          </w:p>
        </w:tc>
        <w:tc>
          <w:tcPr>
            <w:tcW w:w="0" w:type="auto"/>
          </w:tcPr>
          <w:p w14:paraId="04715A28" w14:textId="77777777" w:rsidR="008607D3" w:rsidRPr="002C1FD9" w:rsidRDefault="000F3005">
            <w:pPr>
              <w:spacing w:beforeAutospacing="1" w:afterAutospacing="1"/>
              <w:jc w:val="right"/>
            </w:pPr>
            <w:r w:rsidRPr="002C1FD9">
              <w:t>2024</w:t>
            </w:r>
          </w:p>
        </w:tc>
        <w:tc>
          <w:tcPr>
            <w:tcW w:w="0" w:type="auto"/>
          </w:tcPr>
          <w:p w14:paraId="567CFB48" w14:textId="77777777" w:rsidR="008607D3" w:rsidRPr="002C1FD9" w:rsidRDefault="000F3005">
            <w:pPr>
              <w:spacing w:beforeAutospacing="1" w:afterAutospacing="1"/>
            </w:pPr>
            <w:r w:rsidRPr="002C1FD9">
              <w:t>Affordable Housing</w:t>
            </w:r>
            <w:r w:rsidRPr="002C1FD9">
              <w:br/>
              <w:t>Public Housing</w:t>
            </w:r>
            <w:r w:rsidRPr="002C1FD9">
              <w:br/>
              <w:t>Non-Housing Community Development</w:t>
            </w:r>
          </w:p>
        </w:tc>
        <w:tc>
          <w:tcPr>
            <w:tcW w:w="0" w:type="auto"/>
          </w:tcPr>
          <w:p w14:paraId="346D4E6E" w14:textId="77777777" w:rsidR="008607D3" w:rsidRPr="002C1FD9" w:rsidRDefault="000F3005">
            <w:pPr>
              <w:spacing w:beforeAutospacing="1" w:afterAutospacing="1"/>
            </w:pPr>
            <w:r w:rsidRPr="002C1FD9">
              <w:t>LMA Preservation Area</w:t>
            </w:r>
            <w:r w:rsidRPr="002C1FD9">
              <w:br/>
              <w:t>WBRP Service Area</w:t>
            </w:r>
            <w:r w:rsidRPr="002C1FD9">
              <w:br/>
              <w:t>LMA Regeneration Area - Outside WBRP</w:t>
            </w:r>
          </w:p>
        </w:tc>
        <w:tc>
          <w:tcPr>
            <w:tcW w:w="0" w:type="auto"/>
          </w:tcPr>
          <w:p w14:paraId="6D2D43A8" w14:textId="77777777" w:rsidR="008607D3" w:rsidRPr="002C1FD9" w:rsidRDefault="000F3005">
            <w:pPr>
              <w:spacing w:beforeAutospacing="1" w:afterAutospacing="1"/>
            </w:pPr>
            <w:r w:rsidRPr="002C1FD9">
              <w:t>Housing Discrimination Services</w:t>
            </w:r>
          </w:p>
        </w:tc>
        <w:tc>
          <w:tcPr>
            <w:tcW w:w="0" w:type="auto"/>
          </w:tcPr>
          <w:p w14:paraId="73085BE5" w14:textId="77777777" w:rsidR="008607D3" w:rsidRPr="002C1FD9" w:rsidRDefault="000F3005" w:rsidP="006A360F">
            <w:pPr>
              <w:spacing w:beforeAutospacing="1" w:afterAutospacing="1"/>
              <w:jc w:val="right"/>
            </w:pPr>
            <w:r w:rsidRPr="002C1FD9">
              <w:t>CDBG: $6</w:t>
            </w:r>
            <w:r w:rsidR="006A360F" w:rsidRPr="002C1FD9">
              <w:t>6</w:t>
            </w:r>
            <w:r w:rsidRPr="002C1FD9">
              <w:t>,000</w:t>
            </w:r>
          </w:p>
        </w:tc>
        <w:tc>
          <w:tcPr>
            <w:tcW w:w="0" w:type="auto"/>
          </w:tcPr>
          <w:p w14:paraId="29D6B04F" w14:textId="77777777" w:rsidR="008607D3" w:rsidRPr="002C1FD9" w:rsidRDefault="000F3005">
            <w:pPr>
              <w:spacing w:beforeAutospacing="1" w:afterAutospacing="1"/>
            </w:pPr>
            <w:r w:rsidRPr="002C1FD9">
              <w:t xml:space="preserve"> </w:t>
            </w:r>
          </w:p>
        </w:tc>
      </w:tr>
      <w:tr w:rsidR="002C1FD9" w:rsidRPr="002C1FD9" w14:paraId="079E14A0" w14:textId="77777777">
        <w:trPr>
          <w:cantSplit/>
        </w:trPr>
        <w:tc>
          <w:tcPr>
            <w:tcW w:w="0" w:type="auto"/>
          </w:tcPr>
          <w:p w14:paraId="29B4EA11" w14:textId="77777777" w:rsidR="006A360F" w:rsidRPr="002C1FD9" w:rsidRDefault="006A360F" w:rsidP="006E52A8">
            <w:pPr>
              <w:spacing w:before="100" w:beforeAutospacing="1" w:after="100" w:afterAutospacing="1"/>
              <w:rPr>
                <w:b/>
              </w:rPr>
            </w:pPr>
            <w:r w:rsidRPr="002C1FD9">
              <w:rPr>
                <w:b/>
              </w:rPr>
              <w:lastRenderedPageBreak/>
              <w:t>6</w:t>
            </w:r>
          </w:p>
        </w:tc>
        <w:tc>
          <w:tcPr>
            <w:tcW w:w="0" w:type="auto"/>
          </w:tcPr>
          <w:p w14:paraId="046BDD64" w14:textId="77777777" w:rsidR="006A360F" w:rsidRPr="002C1FD9" w:rsidRDefault="006E52A8" w:rsidP="006E52A8">
            <w:pPr>
              <w:spacing w:before="100" w:beforeAutospacing="1" w:after="100" w:afterAutospacing="1"/>
            </w:pPr>
            <w:r w:rsidRPr="002C1FD9">
              <w:t>COVID-19 Prevention, Preparation and Response</w:t>
            </w:r>
          </w:p>
        </w:tc>
        <w:tc>
          <w:tcPr>
            <w:tcW w:w="0" w:type="auto"/>
          </w:tcPr>
          <w:p w14:paraId="0D42C9D5" w14:textId="77777777" w:rsidR="006A360F" w:rsidRPr="002C1FD9" w:rsidRDefault="006A360F" w:rsidP="006E52A8">
            <w:pPr>
              <w:spacing w:before="100" w:beforeAutospacing="1" w:after="100" w:afterAutospacing="1"/>
              <w:jc w:val="right"/>
            </w:pPr>
            <w:r w:rsidRPr="002C1FD9">
              <w:t>2020</w:t>
            </w:r>
          </w:p>
        </w:tc>
        <w:tc>
          <w:tcPr>
            <w:tcW w:w="0" w:type="auto"/>
          </w:tcPr>
          <w:p w14:paraId="1FBE425F" w14:textId="77777777" w:rsidR="006A360F" w:rsidRPr="002C1FD9" w:rsidRDefault="006A360F" w:rsidP="006E52A8">
            <w:pPr>
              <w:spacing w:before="100" w:beforeAutospacing="1" w:after="100" w:afterAutospacing="1"/>
              <w:jc w:val="right"/>
            </w:pPr>
            <w:r w:rsidRPr="002C1FD9">
              <w:t>2022</w:t>
            </w:r>
          </w:p>
        </w:tc>
        <w:tc>
          <w:tcPr>
            <w:tcW w:w="0" w:type="auto"/>
          </w:tcPr>
          <w:p w14:paraId="25EB4BD9" w14:textId="77777777" w:rsidR="006A360F" w:rsidRPr="002C1FD9" w:rsidRDefault="006A360F" w:rsidP="006E52A8">
            <w:pPr>
              <w:spacing w:before="100" w:beforeAutospacing="1" w:after="100" w:afterAutospacing="1"/>
              <w:contextualSpacing/>
            </w:pPr>
            <w:r w:rsidRPr="002C1FD9">
              <w:t>Affordable Housing</w:t>
            </w:r>
          </w:p>
          <w:p w14:paraId="00307363" w14:textId="77777777" w:rsidR="006A360F" w:rsidRPr="002C1FD9" w:rsidRDefault="006A360F" w:rsidP="006E52A8">
            <w:pPr>
              <w:spacing w:before="100" w:beforeAutospacing="1" w:after="100" w:afterAutospacing="1"/>
              <w:contextualSpacing/>
            </w:pPr>
            <w:r w:rsidRPr="002C1FD9">
              <w:t>Homelessness</w:t>
            </w:r>
          </w:p>
          <w:p w14:paraId="4CBF3AC9" w14:textId="77777777" w:rsidR="006A360F" w:rsidRPr="002C1FD9" w:rsidRDefault="006A360F" w:rsidP="006E52A8">
            <w:pPr>
              <w:spacing w:before="100" w:beforeAutospacing="1" w:after="100" w:afterAutospacing="1"/>
              <w:contextualSpacing/>
            </w:pPr>
            <w:r w:rsidRPr="002C1FD9">
              <w:t xml:space="preserve">Non-Housing Community Development </w:t>
            </w:r>
          </w:p>
        </w:tc>
        <w:tc>
          <w:tcPr>
            <w:tcW w:w="0" w:type="auto"/>
          </w:tcPr>
          <w:p w14:paraId="0DE912A5" w14:textId="77777777" w:rsidR="006A360F" w:rsidRPr="002C1FD9" w:rsidRDefault="006A360F" w:rsidP="006E52A8">
            <w:pPr>
              <w:spacing w:before="100" w:beforeAutospacing="1" w:after="100" w:afterAutospacing="1"/>
            </w:pPr>
            <w:r w:rsidRPr="002C1FD9">
              <w:t>City-wide</w:t>
            </w:r>
          </w:p>
        </w:tc>
        <w:tc>
          <w:tcPr>
            <w:tcW w:w="0" w:type="auto"/>
          </w:tcPr>
          <w:p w14:paraId="0AAD1463" w14:textId="77777777" w:rsidR="006A360F" w:rsidRPr="002C1FD9" w:rsidRDefault="006A360F" w:rsidP="006E52A8">
            <w:pPr>
              <w:spacing w:before="100" w:beforeAutospacing="1" w:after="100" w:afterAutospacing="1"/>
              <w:contextualSpacing/>
            </w:pPr>
            <w:r w:rsidRPr="002C1FD9">
              <w:t>Renter Assistance</w:t>
            </w:r>
          </w:p>
          <w:p w14:paraId="75A18A0E" w14:textId="77777777" w:rsidR="006A360F" w:rsidRPr="002C1FD9" w:rsidRDefault="006A360F" w:rsidP="006E52A8">
            <w:pPr>
              <w:spacing w:before="100" w:beforeAutospacing="1" w:after="100" w:afterAutospacing="1"/>
              <w:contextualSpacing/>
            </w:pPr>
            <w:r w:rsidRPr="002C1FD9">
              <w:t>Affordable Housing Preservation</w:t>
            </w:r>
          </w:p>
          <w:p w14:paraId="3F477344" w14:textId="77777777" w:rsidR="006A360F" w:rsidRPr="002C1FD9" w:rsidRDefault="006A360F" w:rsidP="006E52A8">
            <w:pPr>
              <w:spacing w:before="100" w:beforeAutospacing="1" w:after="100" w:afterAutospacing="1"/>
              <w:contextualSpacing/>
            </w:pPr>
            <w:r w:rsidRPr="002C1FD9">
              <w:t>Business Support</w:t>
            </w:r>
          </w:p>
        </w:tc>
        <w:tc>
          <w:tcPr>
            <w:tcW w:w="0" w:type="auto"/>
          </w:tcPr>
          <w:p w14:paraId="03E5A488" w14:textId="77777777" w:rsidR="006A360F" w:rsidRPr="002C1FD9" w:rsidRDefault="006A360F" w:rsidP="006E52A8">
            <w:pPr>
              <w:spacing w:before="100" w:beforeAutospacing="1" w:after="100" w:afterAutospacing="1"/>
              <w:jc w:val="right"/>
            </w:pPr>
            <w:r w:rsidRPr="002C1FD9">
              <w:t>$329,114</w:t>
            </w:r>
          </w:p>
        </w:tc>
        <w:tc>
          <w:tcPr>
            <w:tcW w:w="0" w:type="auto"/>
          </w:tcPr>
          <w:p w14:paraId="13D75D70" w14:textId="77777777" w:rsidR="006A360F" w:rsidRPr="002C1FD9" w:rsidRDefault="006A360F" w:rsidP="006E52A8">
            <w:pPr>
              <w:spacing w:before="100" w:beforeAutospacing="1" w:after="100" w:afterAutospacing="1"/>
              <w:contextualSpacing/>
            </w:pPr>
            <w:r w:rsidRPr="002C1FD9">
              <w:t>150 households</w:t>
            </w:r>
          </w:p>
          <w:p w14:paraId="5F74D07F" w14:textId="77777777" w:rsidR="006A360F" w:rsidRPr="002C1FD9" w:rsidRDefault="006E52A8" w:rsidP="006E52A8">
            <w:pPr>
              <w:spacing w:before="100" w:beforeAutospacing="1" w:after="100" w:afterAutospacing="1"/>
              <w:contextualSpacing/>
            </w:pPr>
            <w:r w:rsidRPr="002C1FD9">
              <w:t>150 jobs created/retained</w:t>
            </w:r>
          </w:p>
        </w:tc>
      </w:tr>
    </w:tbl>
    <w:p w14:paraId="38DA581C" w14:textId="77777777" w:rsidR="008607D3" w:rsidRPr="002C1FD9" w:rsidRDefault="000F3005">
      <w:pPr>
        <w:pStyle w:val="Caption"/>
        <w:jc w:val="center"/>
        <w:rPr>
          <w:rFonts w:asciiTheme="minorHAnsi" w:hAnsiTheme="minorHAnsi"/>
        </w:rPr>
      </w:pPr>
      <w:r w:rsidRPr="002C1FD9">
        <w:rPr>
          <w:rFonts w:asciiTheme="minorHAnsi" w:hAnsiTheme="minorHAnsi"/>
        </w:rPr>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2</w:t>
      </w:r>
      <w:r w:rsidRPr="002C1FD9">
        <w:rPr>
          <w:rFonts w:asciiTheme="minorHAnsi" w:hAnsiTheme="minorHAnsi"/>
        </w:rPr>
        <w:fldChar w:fldCharType="end"/>
      </w:r>
      <w:r w:rsidRPr="002C1FD9">
        <w:rPr>
          <w:rFonts w:asciiTheme="minorHAnsi" w:hAnsiTheme="minorHAnsi"/>
        </w:rPr>
        <w:t xml:space="preserve"> – Goals Summary</w:t>
      </w:r>
    </w:p>
    <w:p w14:paraId="41DB51EF" w14:textId="77777777" w:rsidR="008607D3" w:rsidRPr="002C1FD9" w:rsidRDefault="000F3005">
      <w:pPr>
        <w:rPr>
          <w:b/>
          <w:sz w:val="24"/>
          <w:szCs w:val="24"/>
        </w:rPr>
      </w:pPr>
      <w:r w:rsidRPr="002C1FD9">
        <w:rPr>
          <w:b/>
          <w:sz w:val="24"/>
          <w:szCs w:val="24"/>
        </w:rPr>
        <w:t>Goal Descriptions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1389"/>
        <w:gridCol w:w="10625"/>
      </w:tblGrid>
      <w:tr w:rsidR="002C1FD9" w:rsidRPr="002C1FD9" w14:paraId="64067C72" w14:textId="77777777">
        <w:trPr>
          <w:cantSplit/>
        </w:trPr>
        <w:tc>
          <w:tcPr>
            <w:tcW w:w="0" w:type="auto"/>
            <w:vMerge w:val="restart"/>
          </w:tcPr>
          <w:p w14:paraId="56B20A0C" w14:textId="77777777" w:rsidR="008607D3" w:rsidRPr="002C1FD9" w:rsidRDefault="000F3005">
            <w:pPr>
              <w:keepNext/>
              <w:spacing w:before="100" w:after="0"/>
            </w:pPr>
            <w:r w:rsidRPr="002C1FD9">
              <w:rPr>
                <w:b/>
              </w:rPr>
              <w:t>1</w:t>
            </w:r>
          </w:p>
        </w:tc>
        <w:tc>
          <w:tcPr>
            <w:tcW w:w="0" w:type="auto"/>
          </w:tcPr>
          <w:p w14:paraId="7F1E19F0" w14:textId="77777777" w:rsidR="008607D3" w:rsidRPr="002C1FD9" w:rsidRDefault="000F3005">
            <w:pPr>
              <w:keepNext/>
              <w:spacing w:before="100" w:after="0"/>
              <w:rPr>
                <w:b/>
              </w:rPr>
            </w:pPr>
            <w:r w:rsidRPr="002C1FD9">
              <w:rPr>
                <w:b/>
              </w:rPr>
              <w:t>Goal Name</w:t>
            </w:r>
          </w:p>
        </w:tc>
        <w:tc>
          <w:tcPr>
            <w:tcW w:w="0" w:type="auto"/>
          </w:tcPr>
          <w:p w14:paraId="3416940C" w14:textId="77777777" w:rsidR="008607D3" w:rsidRPr="002C1FD9" w:rsidRDefault="000F3005">
            <w:pPr>
              <w:spacing w:before="100" w:after="0"/>
            </w:pPr>
            <w:r w:rsidRPr="002C1FD9">
              <w:t>Preservation of existing affordable housing stock.</w:t>
            </w:r>
          </w:p>
        </w:tc>
      </w:tr>
      <w:tr w:rsidR="002C1FD9" w:rsidRPr="002C1FD9" w14:paraId="533D7FC7" w14:textId="77777777">
        <w:trPr>
          <w:cantSplit/>
        </w:trPr>
        <w:tc>
          <w:tcPr>
            <w:tcW w:w="0" w:type="auto"/>
            <w:vMerge/>
          </w:tcPr>
          <w:p w14:paraId="0E27B00A" w14:textId="77777777" w:rsidR="008607D3" w:rsidRPr="002C1FD9" w:rsidRDefault="008607D3"/>
        </w:tc>
        <w:tc>
          <w:tcPr>
            <w:tcW w:w="0" w:type="auto"/>
          </w:tcPr>
          <w:p w14:paraId="0D083724" w14:textId="77777777" w:rsidR="008607D3" w:rsidRPr="002C1FD9" w:rsidRDefault="000F3005">
            <w:pPr>
              <w:keepNext/>
              <w:spacing w:before="100" w:after="0"/>
              <w:rPr>
                <w:b/>
              </w:rPr>
            </w:pPr>
            <w:r w:rsidRPr="002C1FD9">
              <w:rPr>
                <w:b/>
              </w:rPr>
              <w:t>Goal Description</w:t>
            </w:r>
          </w:p>
        </w:tc>
        <w:tc>
          <w:tcPr>
            <w:tcW w:w="0" w:type="auto"/>
          </w:tcPr>
          <w:p w14:paraId="0DF3FFB9" w14:textId="77777777" w:rsidR="008607D3" w:rsidRPr="002C1FD9" w:rsidRDefault="000F3005">
            <w:pPr>
              <w:spacing w:before="100" w:after="0"/>
            </w:pPr>
            <w:r w:rsidRPr="002C1FD9">
              <w:t xml:space="preserve">The preservation of the existing affordable housing stock will be conducted throughout the 2020 Annual Action Plan.  The City will perform housing rehabilitation through 0% interest, deferred payment loans.  Loan amounts are typically capped at $25,000 and include hard costs only.  Soft costs will be covered under Rehabilitation Service Delivery.  The loan program is currently available to single-family, owner-occupied households meeting income eligibility guidelines.  Grants to homeowners will be made available under special circumstances. Habitat for Humanity will receive a grant to support its A Brush with Kindness program, which provides exterior rehabilitation for income-qualified households.  </w:t>
            </w:r>
          </w:p>
          <w:p w14:paraId="60061E4C" w14:textId="4CFD03C2" w:rsidR="008607D3" w:rsidRPr="002C1FD9" w:rsidRDefault="000F3005" w:rsidP="00612B1E">
            <w:pPr>
              <w:spacing w:before="100" w:after="0"/>
            </w:pPr>
            <w:r w:rsidRPr="002C1FD9">
              <w:t>The City will support Bloomington Housing Authority and not-for-profits organizations providing housing opportunities for low- and moderate income households and/or special populations, as needed.  The City will continue its partnership with AMBUCS to build accessibility ramps during the 2020 program year CDBG will be leveraged with other resources such as the Illinois Housing Development Authority's Single Family Rehabilitation and Home Accessibility Program, when appropriate. </w:t>
            </w:r>
          </w:p>
        </w:tc>
      </w:tr>
      <w:tr w:rsidR="002C1FD9" w:rsidRPr="002C1FD9" w14:paraId="7B1C20DB" w14:textId="77777777">
        <w:trPr>
          <w:cantSplit/>
        </w:trPr>
        <w:tc>
          <w:tcPr>
            <w:tcW w:w="0" w:type="auto"/>
            <w:vMerge w:val="restart"/>
          </w:tcPr>
          <w:p w14:paraId="7144751B" w14:textId="77777777" w:rsidR="008607D3" w:rsidRPr="002C1FD9" w:rsidRDefault="000F3005">
            <w:pPr>
              <w:keepNext/>
              <w:spacing w:before="100" w:after="0"/>
            </w:pPr>
            <w:r w:rsidRPr="002C1FD9">
              <w:rPr>
                <w:b/>
              </w:rPr>
              <w:lastRenderedPageBreak/>
              <w:t>2</w:t>
            </w:r>
          </w:p>
        </w:tc>
        <w:tc>
          <w:tcPr>
            <w:tcW w:w="0" w:type="auto"/>
          </w:tcPr>
          <w:p w14:paraId="4FF98A7D" w14:textId="77777777" w:rsidR="008607D3" w:rsidRPr="002C1FD9" w:rsidRDefault="000F3005">
            <w:pPr>
              <w:keepNext/>
              <w:spacing w:before="100" w:after="0"/>
              <w:rPr>
                <w:b/>
              </w:rPr>
            </w:pPr>
            <w:r w:rsidRPr="002C1FD9">
              <w:rPr>
                <w:b/>
              </w:rPr>
              <w:t>Goal Name</w:t>
            </w:r>
          </w:p>
        </w:tc>
        <w:tc>
          <w:tcPr>
            <w:tcW w:w="0" w:type="auto"/>
          </w:tcPr>
          <w:p w14:paraId="786BBD7C" w14:textId="77777777" w:rsidR="008607D3" w:rsidRPr="002C1FD9" w:rsidRDefault="000F3005">
            <w:pPr>
              <w:spacing w:before="100" w:after="0"/>
            </w:pPr>
            <w:r w:rsidRPr="002C1FD9">
              <w:t>Elimination of slum and blight conditions.</w:t>
            </w:r>
          </w:p>
        </w:tc>
      </w:tr>
      <w:tr w:rsidR="002C1FD9" w:rsidRPr="002C1FD9" w14:paraId="06DF243A" w14:textId="77777777">
        <w:trPr>
          <w:cantSplit/>
        </w:trPr>
        <w:tc>
          <w:tcPr>
            <w:tcW w:w="0" w:type="auto"/>
            <w:vMerge/>
          </w:tcPr>
          <w:p w14:paraId="44EAFD9C" w14:textId="77777777" w:rsidR="008607D3" w:rsidRPr="002C1FD9" w:rsidRDefault="008607D3"/>
        </w:tc>
        <w:tc>
          <w:tcPr>
            <w:tcW w:w="0" w:type="auto"/>
          </w:tcPr>
          <w:p w14:paraId="314B1A5B" w14:textId="77777777" w:rsidR="008607D3" w:rsidRPr="002C1FD9" w:rsidRDefault="000F3005">
            <w:pPr>
              <w:keepNext/>
              <w:spacing w:before="100" w:after="0"/>
              <w:rPr>
                <w:b/>
              </w:rPr>
            </w:pPr>
            <w:r w:rsidRPr="002C1FD9">
              <w:rPr>
                <w:b/>
              </w:rPr>
              <w:t>Goal Description</w:t>
            </w:r>
          </w:p>
        </w:tc>
        <w:tc>
          <w:tcPr>
            <w:tcW w:w="0" w:type="auto"/>
          </w:tcPr>
          <w:p w14:paraId="5207DED2" w14:textId="77777777" w:rsidR="008607D3" w:rsidRPr="002C1FD9" w:rsidRDefault="000F3005">
            <w:pPr>
              <w:spacing w:before="100" w:after="0"/>
            </w:pPr>
            <w:r w:rsidRPr="002C1FD9">
              <w:t>The City will address the elimination of slum and blight conditions throughout the 2020 Annual Action Plan.  Demolition and clearance activities will be limited to residential properties.  Rehabilitation will always be considered prior to demolition.  When the property does not meet rehabilitation criteria, the City will make every attempt to replace the blighted unit(s) with new affordable housing through property donation to Habitat for Humanity.  Properties that do not meet Habitat's criteria may be offered to adjacent property owners or donated to local not-for-profits for green space.  CDBG will be leveraged with other resources such as the Illinois Housing Development Authority's Abandoned Property Program, when appropriate.</w:t>
            </w:r>
          </w:p>
        </w:tc>
      </w:tr>
      <w:tr w:rsidR="002C1FD9" w:rsidRPr="002C1FD9" w14:paraId="789001EB" w14:textId="77777777">
        <w:trPr>
          <w:cantSplit/>
        </w:trPr>
        <w:tc>
          <w:tcPr>
            <w:tcW w:w="0" w:type="auto"/>
            <w:vMerge w:val="restart"/>
          </w:tcPr>
          <w:p w14:paraId="0B778152" w14:textId="77777777" w:rsidR="008607D3" w:rsidRPr="002C1FD9" w:rsidRDefault="000F3005">
            <w:pPr>
              <w:keepNext/>
              <w:spacing w:before="100" w:after="0"/>
            </w:pPr>
            <w:r w:rsidRPr="002C1FD9">
              <w:rPr>
                <w:b/>
              </w:rPr>
              <w:t>3</w:t>
            </w:r>
          </w:p>
        </w:tc>
        <w:tc>
          <w:tcPr>
            <w:tcW w:w="0" w:type="auto"/>
          </w:tcPr>
          <w:p w14:paraId="2B417637" w14:textId="77777777" w:rsidR="008607D3" w:rsidRPr="002C1FD9" w:rsidRDefault="000F3005">
            <w:pPr>
              <w:keepNext/>
              <w:spacing w:before="100" w:after="0"/>
              <w:rPr>
                <w:b/>
              </w:rPr>
            </w:pPr>
            <w:r w:rsidRPr="002C1FD9">
              <w:rPr>
                <w:b/>
              </w:rPr>
              <w:t>Goal Name</w:t>
            </w:r>
          </w:p>
        </w:tc>
        <w:tc>
          <w:tcPr>
            <w:tcW w:w="0" w:type="auto"/>
          </w:tcPr>
          <w:p w14:paraId="231C7F1E" w14:textId="77777777" w:rsidR="008607D3" w:rsidRPr="002C1FD9" w:rsidRDefault="000F3005">
            <w:pPr>
              <w:spacing w:before="100" w:after="0"/>
            </w:pPr>
            <w:r w:rsidRPr="002C1FD9">
              <w:t>Support the provision of public service activities</w:t>
            </w:r>
          </w:p>
        </w:tc>
      </w:tr>
      <w:tr w:rsidR="002C1FD9" w:rsidRPr="002C1FD9" w14:paraId="26F5AECF" w14:textId="77777777">
        <w:trPr>
          <w:cantSplit/>
        </w:trPr>
        <w:tc>
          <w:tcPr>
            <w:tcW w:w="0" w:type="auto"/>
            <w:vMerge/>
          </w:tcPr>
          <w:p w14:paraId="4B94D5A5" w14:textId="77777777" w:rsidR="008607D3" w:rsidRPr="002C1FD9" w:rsidRDefault="008607D3"/>
        </w:tc>
        <w:tc>
          <w:tcPr>
            <w:tcW w:w="0" w:type="auto"/>
          </w:tcPr>
          <w:p w14:paraId="5A440941" w14:textId="77777777" w:rsidR="008607D3" w:rsidRPr="002C1FD9" w:rsidRDefault="000F3005">
            <w:pPr>
              <w:keepNext/>
              <w:spacing w:before="100" w:after="0"/>
              <w:rPr>
                <w:b/>
              </w:rPr>
            </w:pPr>
            <w:r w:rsidRPr="002C1FD9">
              <w:rPr>
                <w:b/>
              </w:rPr>
              <w:t>Goal Description</w:t>
            </w:r>
          </w:p>
        </w:tc>
        <w:tc>
          <w:tcPr>
            <w:tcW w:w="0" w:type="auto"/>
          </w:tcPr>
          <w:p w14:paraId="3DEEC669" w14:textId="09EC6576" w:rsidR="008607D3" w:rsidRPr="002C1FD9" w:rsidRDefault="000F3005" w:rsidP="00612B1E">
            <w:pPr>
              <w:spacing w:before="100" w:after="0"/>
            </w:pPr>
            <w:r w:rsidRPr="002C1FD9">
              <w:t>The City will support local not-for-profit organizations dedicated to providing services to low- and moderate-income residents and other special populations throughout the 2020 Annual Action Plan.  Programs supported in Program Year 2020 include PATH's Homeless Services and Emergency Grants programs, West Bloomington Revitalization Project, Recycling Furniture for Families, Peace Meals and Dreams Are Possible.  Services provided through these projects address the following high priority funding areas: homeless services, renter assistance, senior services, job training and workforce development and programs for the WBRP target area.</w:t>
            </w:r>
          </w:p>
        </w:tc>
      </w:tr>
      <w:tr w:rsidR="002C1FD9" w:rsidRPr="002C1FD9" w14:paraId="570C8241" w14:textId="77777777">
        <w:trPr>
          <w:cantSplit/>
        </w:trPr>
        <w:tc>
          <w:tcPr>
            <w:tcW w:w="0" w:type="auto"/>
            <w:vMerge w:val="restart"/>
          </w:tcPr>
          <w:p w14:paraId="279935FF" w14:textId="77777777" w:rsidR="008607D3" w:rsidRPr="002C1FD9" w:rsidRDefault="000F3005">
            <w:pPr>
              <w:keepNext/>
              <w:spacing w:before="100" w:after="0"/>
            </w:pPr>
            <w:r w:rsidRPr="002C1FD9">
              <w:rPr>
                <w:b/>
              </w:rPr>
              <w:t>4</w:t>
            </w:r>
          </w:p>
        </w:tc>
        <w:tc>
          <w:tcPr>
            <w:tcW w:w="0" w:type="auto"/>
          </w:tcPr>
          <w:p w14:paraId="46996897" w14:textId="77777777" w:rsidR="008607D3" w:rsidRPr="002C1FD9" w:rsidRDefault="000F3005">
            <w:pPr>
              <w:keepNext/>
              <w:spacing w:before="100" w:after="0"/>
              <w:rPr>
                <w:b/>
              </w:rPr>
            </w:pPr>
            <w:r w:rsidRPr="002C1FD9">
              <w:rPr>
                <w:b/>
              </w:rPr>
              <w:t>Goal Name</w:t>
            </w:r>
          </w:p>
        </w:tc>
        <w:tc>
          <w:tcPr>
            <w:tcW w:w="0" w:type="auto"/>
          </w:tcPr>
          <w:p w14:paraId="45701641" w14:textId="77777777" w:rsidR="008607D3" w:rsidRPr="002C1FD9" w:rsidRDefault="000F3005">
            <w:pPr>
              <w:spacing w:before="100" w:after="0"/>
            </w:pPr>
            <w:r w:rsidRPr="002C1FD9">
              <w:t>Provide quality services and facilities.</w:t>
            </w:r>
          </w:p>
        </w:tc>
      </w:tr>
      <w:tr w:rsidR="002C1FD9" w:rsidRPr="002C1FD9" w14:paraId="218C9F17" w14:textId="77777777">
        <w:trPr>
          <w:cantSplit/>
        </w:trPr>
        <w:tc>
          <w:tcPr>
            <w:tcW w:w="0" w:type="auto"/>
            <w:vMerge/>
          </w:tcPr>
          <w:p w14:paraId="3656B9AB" w14:textId="77777777" w:rsidR="008607D3" w:rsidRPr="002C1FD9" w:rsidRDefault="008607D3"/>
        </w:tc>
        <w:tc>
          <w:tcPr>
            <w:tcW w:w="0" w:type="auto"/>
          </w:tcPr>
          <w:p w14:paraId="47D581DD" w14:textId="77777777" w:rsidR="008607D3" w:rsidRPr="002C1FD9" w:rsidRDefault="000F3005">
            <w:pPr>
              <w:keepNext/>
              <w:spacing w:before="100" w:after="0"/>
              <w:rPr>
                <w:b/>
              </w:rPr>
            </w:pPr>
            <w:r w:rsidRPr="002C1FD9">
              <w:rPr>
                <w:b/>
              </w:rPr>
              <w:t>Goal Description</w:t>
            </w:r>
          </w:p>
        </w:tc>
        <w:tc>
          <w:tcPr>
            <w:tcW w:w="0" w:type="auto"/>
          </w:tcPr>
          <w:p w14:paraId="6B220109" w14:textId="77777777" w:rsidR="008607D3" w:rsidRPr="002C1FD9" w:rsidRDefault="000F3005">
            <w:pPr>
              <w:spacing w:before="100" w:after="0"/>
            </w:pPr>
            <w:r w:rsidRPr="002C1FD9">
              <w:t xml:space="preserve">The City will address the provision of quality City services and public facilities for all residents throughout the 2020 Annual Action Plan.  Funding will be </w:t>
            </w:r>
            <w:r w:rsidR="00067151" w:rsidRPr="002C1FD9">
              <w:t>utilized</w:t>
            </w:r>
            <w:r w:rsidRPr="002C1FD9">
              <w:t xml:space="preserve"> to support accessibility improvements </w:t>
            </w:r>
            <w:r w:rsidR="007B2486" w:rsidRPr="002C1FD9">
              <w:t>at Mid</w:t>
            </w:r>
            <w:r w:rsidRPr="002C1FD9">
              <w:t xml:space="preserve"> Central Community Action's </w:t>
            </w:r>
            <w:r w:rsidR="00067151" w:rsidRPr="002C1FD9">
              <w:t>Bloomington office.</w:t>
            </w:r>
            <w:r w:rsidRPr="002C1FD9">
              <w:t xml:space="preserve">  Funds will also support playground upgrades at </w:t>
            </w:r>
            <w:r w:rsidR="00067151" w:rsidRPr="002C1FD9">
              <w:t xml:space="preserve">Evergreen </w:t>
            </w:r>
            <w:r w:rsidRPr="002C1FD9">
              <w:t xml:space="preserve">Park and sidewalk improvements in West Bloomington.  </w:t>
            </w:r>
          </w:p>
        </w:tc>
      </w:tr>
      <w:tr w:rsidR="002C1FD9" w:rsidRPr="002C1FD9" w14:paraId="2BDE9D30" w14:textId="77777777">
        <w:trPr>
          <w:cantSplit/>
        </w:trPr>
        <w:tc>
          <w:tcPr>
            <w:tcW w:w="0" w:type="auto"/>
            <w:vMerge w:val="restart"/>
          </w:tcPr>
          <w:p w14:paraId="44240AAE" w14:textId="77777777" w:rsidR="008607D3" w:rsidRPr="002C1FD9" w:rsidRDefault="000F3005">
            <w:pPr>
              <w:keepNext/>
              <w:spacing w:before="100" w:after="0"/>
            </w:pPr>
            <w:r w:rsidRPr="002C1FD9">
              <w:rPr>
                <w:b/>
              </w:rPr>
              <w:t>5</w:t>
            </w:r>
          </w:p>
        </w:tc>
        <w:tc>
          <w:tcPr>
            <w:tcW w:w="0" w:type="auto"/>
          </w:tcPr>
          <w:p w14:paraId="69DBF0DB" w14:textId="77777777" w:rsidR="008607D3" w:rsidRPr="002C1FD9" w:rsidRDefault="000F3005">
            <w:pPr>
              <w:keepNext/>
              <w:spacing w:before="100" w:after="0"/>
              <w:rPr>
                <w:b/>
              </w:rPr>
            </w:pPr>
            <w:r w:rsidRPr="002C1FD9">
              <w:rPr>
                <w:b/>
              </w:rPr>
              <w:t>Goal Name</w:t>
            </w:r>
          </w:p>
        </w:tc>
        <w:tc>
          <w:tcPr>
            <w:tcW w:w="0" w:type="auto"/>
          </w:tcPr>
          <w:p w14:paraId="62BDEAFD" w14:textId="77777777" w:rsidR="008607D3" w:rsidRPr="002C1FD9" w:rsidRDefault="000F3005">
            <w:pPr>
              <w:spacing w:before="100" w:after="0"/>
            </w:pPr>
            <w:r w:rsidRPr="002C1FD9">
              <w:t>Administer CDBG effectively and proficiently.</w:t>
            </w:r>
          </w:p>
        </w:tc>
      </w:tr>
      <w:tr w:rsidR="002C1FD9" w:rsidRPr="002C1FD9" w14:paraId="0795AFEF" w14:textId="77777777">
        <w:trPr>
          <w:cantSplit/>
        </w:trPr>
        <w:tc>
          <w:tcPr>
            <w:tcW w:w="0" w:type="auto"/>
            <w:vMerge/>
          </w:tcPr>
          <w:p w14:paraId="45FB0818" w14:textId="77777777" w:rsidR="008607D3" w:rsidRPr="002C1FD9" w:rsidRDefault="008607D3"/>
        </w:tc>
        <w:tc>
          <w:tcPr>
            <w:tcW w:w="0" w:type="auto"/>
          </w:tcPr>
          <w:p w14:paraId="737F3BBC" w14:textId="77777777" w:rsidR="008607D3" w:rsidRPr="002C1FD9" w:rsidRDefault="000F3005">
            <w:pPr>
              <w:keepNext/>
              <w:spacing w:before="100" w:after="0"/>
              <w:rPr>
                <w:b/>
              </w:rPr>
            </w:pPr>
            <w:r w:rsidRPr="002C1FD9">
              <w:rPr>
                <w:b/>
              </w:rPr>
              <w:t>Goal Description</w:t>
            </w:r>
          </w:p>
        </w:tc>
        <w:tc>
          <w:tcPr>
            <w:tcW w:w="0" w:type="auto"/>
          </w:tcPr>
          <w:p w14:paraId="409FC812" w14:textId="77777777" w:rsidR="008607D3" w:rsidRPr="002C1FD9" w:rsidRDefault="000F3005">
            <w:pPr>
              <w:spacing w:before="100" w:after="0"/>
            </w:pPr>
            <w:r w:rsidRPr="002C1FD9">
              <w:t xml:space="preserve">The City will strive to implement the programs and activities throughout the 2020 Annual Action Plan in the most cost-effective, efficient and logical manner possible.  Through the Administration and Planning goal, the City will support fair housing initiatives, Section 3 opportunities, regional housing planning efforts and general administration of the annual CDBG grants.  </w:t>
            </w:r>
          </w:p>
        </w:tc>
      </w:tr>
      <w:tr w:rsidR="002C1FD9" w:rsidRPr="002C1FD9" w14:paraId="5960743D" w14:textId="77777777">
        <w:trPr>
          <w:cantSplit/>
        </w:trPr>
        <w:tc>
          <w:tcPr>
            <w:tcW w:w="0" w:type="auto"/>
          </w:tcPr>
          <w:p w14:paraId="1B87E3DE" w14:textId="77777777" w:rsidR="006E52A8" w:rsidRPr="002C1FD9" w:rsidRDefault="006E52A8" w:rsidP="006E52A8">
            <w:r w:rsidRPr="002C1FD9">
              <w:t>6</w:t>
            </w:r>
          </w:p>
        </w:tc>
        <w:tc>
          <w:tcPr>
            <w:tcW w:w="0" w:type="auto"/>
          </w:tcPr>
          <w:p w14:paraId="07CCB477" w14:textId="77777777" w:rsidR="006E52A8" w:rsidRPr="002C1FD9" w:rsidRDefault="006E52A8" w:rsidP="006E52A8">
            <w:r w:rsidRPr="002C1FD9">
              <w:t>Goal Name</w:t>
            </w:r>
          </w:p>
        </w:tc>
        <w:tc>
          <w:tcPr>
            <w:tcW w:w="0" w:type="auto"/>
          </w:tcPr>
          <w:p w14:paraId="3D1AFF36" w14:textId="77777777" w:rsidR="006E52A8" w:rsidRPr="002C1FD9" w:rsidRDefault="006E52A8" w:rsidP="006E52A8">
            <w:r w:rsidRPr="002C1FD9">
              <w:t>COVID-19 Prevention, Preparation and Response</w:t>
            </w:r>
          </w:p>
        </w:tc>
      </w:tr>
      <w:tr w:rsidR="002C1FD9" w:rsidRPr="002C1FD9" w14:paraId="71416907" w14:textId="77777777">
        <w:trPr>
          <w:cantSplit/>
        </w:trPr>
        <w:tc>
          <w:tcPr>
            <w:tcW w:w="0" w:type="auto"/>
          </w:tcPr>
          <w:p w14:paraId="0A6959E7" w14:textId="77777777" w:rsidR="006E52A8" w:rsidRPr="002C1FD9" w:rsidRDefault="006E52A8" w:rsidP="006E52A8">
            <w:r w:rsidRPr="002C1FD9">
              <w:lastRenderedPageBreak/>
              <w:tab/>
              <w:t xml:space="preserve"> </w:t>
            </w:r>
          </w:p>
        </w:tc>
        <w:tc>
          <w:tcPr>
            <w:tcW w:w="0" w:type="auto"/>
          </w:tcPr>
          <w:p w14:paraId="1DFA2138" w14:textId="77777777" w:rsidR="006E52A8" w:rsidRPr="002C1FD9" w:rsidRDefault="006E52A8" w:rsidP="006E52A8">
            <w:r w:rsidRPr="002C1FD9">
              <w:t>Goal Description</w:t>
            </w:r>
          </w:p>
        </w:tc>
        <w:tc>
          <w:tcPr>
            <w:tcW w:w="0" w:type="auto"/>
          </w:tcPr>
          <w:p w14:paraId="129B207B" w14:textId="77777777" w:rsidR="006E52A8" w:rsidRPr="002C1FD9" w:rsidRDefault="006E52A8" w:rsidP="006E52A8">
            <w:r w:rsidRPr="002C1FD9">
              <w:t xml:space="preserve">The City will utilize CDBG and CDBG-CV funding to respond to the COVID-19 pandemic’s effects on the housing, food, health, child care, and businesses.  </w:t>
            </w:r>
          </w:p>
        </w:tc>
      </w:tr>
    </w:tbl>
    <w:p w14:paraId="049F31CB" w14:textId="77777777" w:rsidR="008607D3" w:rsidRPr="002C1FD9" w:rsidRDefault="008607D3">
      <w:pPr>
        <w:keepNext/>
        <w:widowControl w:val="0"/>
        <w:jc w:val="center"/>
        <w:rPr>
          <w:b/>
          <w:sz w:val="20"/>
          <w:szCs w:val="20"/>
        </w:rPr>
      </w:pPr>
    </w:p>
    <w:p w14:paraId="53128261" w14:textId="77777777" w:rsidR="008607D3" w:rsidRPr="002C1FD9" w:rsidRDefault="008607D3">
      <w:pPr>
        <w:rPr>
          <w:b/>
          <w:sz w:val="24"/>
          <w:szCs w:val="24"/>
        </w:rPr>
      </w:pPr>
    </w:p>
    <w:p w14:paraId="62486C05" w14:textId="77777777" w:rsidR="008607D3" w:rsidRPr="002C1FD9" w:rsidRDefault="008607D3">
      <w:pPr>
        <w:sectPr w:rsidR="008607D3" w:rsidRPr="002C1FD9">
          <w:pgSz w:w="15840" w:h="12240" w:orient="landscape" w:code="1"/>
          <w:pgMar w:top="1440" w:right="1440" w:bottom="1440" w:left="1440" w:header="720" w:footer="720" w:gutter="0"/>
          <w:cols w:space="720"/>
          <w:docGrid w:linePitch="360"/>
        </w:sectPr>
      </w:pPr>
    </w:p>
    <w:p w14:paraId="35554BCF" w14:textId="77777777" w:rsidR="008607D3" w:rsidRPr="002C1FD9" w:rsidRDefault="000F3005">
      <w:pPr>
        <w:pStyle w:val="Heading2"/>
        <w:jc w:val="center"/>
        <w:rPr>
          <w:rFonts w:ascii="Calibri" w:hAnsi="Calibri"/>
          <w:i w:val="0"/>
          <w:sz w:val="32"/>
          <w:szCs w:val="32"/>
        </w:rPr>
      </w:pPr>
      <w:r w:rsidRPr="002C1FD9">
        <w:rPr>
          <w:rFonts w:ascii="Calibri" w:hAnsi="Calibri"/>
          <w:i w:val="0"/>
          <w:sz w:val="32"/>
          <w:szCs w:val="32"/>
        </w:rPr>
        <w:lastRenderedPageBreak/>
        <w:t xml:space="preserve">Projects </w:t>
      </w:r>
      <w:bookmarkStart w:id="0" w:name="_Toc309810475"/>
    </w:p>
    <w:p w14:paraId="4733274E" w14:textId="77777777" w:rsidR="008607D3" w:rsidRPr="002C1FD9" w:rsidRDefault="000F3005">
      <w:pPr>
        <w:pStyle w:val="Heading2"/>
        <w:rPr>
          <w:rFonts w:ascii="Calibri" w:hAnsi="Calibri"/>
          <w:i w:val="0"/>
        </w:rPr>
      </w:pPr>
      <w:r w:rsidRPr="002C1FD9">
        <w:rPr>
          <w:rFonts w:ascii="Calibri" w:hAnsi="Calibri"/>
          <w:i w:val="0"/>
        </w:rPr>
        <w:t>AP-35 Projects – 91.220(d)</w:t>
      </w:r>
    </w:p>
    <w:p w14:paraId="2635E364" w14:textId="77777777" w:rsidR="008607D3" w:rsidRPr="002C1FD9" w:rsidRDefault="000F3005">
      <w:pPr>
        <w:keepNext/>
        <w:widowControl w:val="0"/>
        <w:spacing w:line="204" w:lineRule="auto"/>
        <w:rPr>
          <w:b/>
          <w:sz w:val="24"/>
          <w:szCs w:val="24"/>
        </w:rPr>
      </w:pPr>
      <w:r w:rsidRPr="002C1FD9">
        <w:rPr>
          <w:b/>
          <w:sz w:val="24"/>
          <w:szCs w:val="24"/>
        </w:rPr>
        <w:t xml:space="preserve">Introduction </w:t>
      </w:r>
    </w:p>
    <w:p w14:paraId="706A1D39" w14:textId="20EA4AF6" w:rsidR="006E52A8" w:rsidRPr="002C1FD9" w:rsidRDefault="4CD2F424" w:rsidP="4CD2F424">
      <w:pPr>
        <w:keepNext/>
        <w:widowControl w:val="0"/>
        <w:spacing w:before="100" w:beforeAutospacing="1" w:after="100" w:afterAutospacing="1"/>
        <w:rPr>
          <w:rFonts w:cs="Arial"/>
        </w:rPr>
      </w:pPr>
      <w:r w:rsidRPr="002C1FD9">
        <w:rPr>
          <w:rFonts w:cs="Arial"/>
        </w:rPr>
        <w:t xml:space="preserve">The projects identified under this Annual Action Plan were chosen based on consultation completed during the development of the 2020-2024 Consolidated Plan.  </w:t>
      </w:r>
    </w:p>
    <w:p w14:paraId="0F3E8AC8" w14:textId="32FBE8B9" w:rsidR="006E52A8" w:rsidRPr="002C1FD9" w:rsidRDefault="4CD2F424" w:rsidP="4CD2F424">
      <w:pPr>
        <w:keepNext/>
        <w:widowControl w:val="0"/>
        <w:spacing w:before="100" w:beforeAutospacing="1" w:after="100" w:afterAutospacing="1"/>
        <w:rPr>
          <w:rFonts w:cs="Arial"/>
        </w:rPr>
      </w:pPr>
      <w:r w:rsidRPr="002C1FD9">
        <w:rPr>
          <w:rFonts w:cs="Arial"/>
        </w:rPr>
        <w:t xml:space="preserve">The City received notice of an additional CDBG-CV allocation on April 2, 2020. </w:t>
      </w:r>
    </w:p>
    <w:p w14:paraId="14998EE8" w14:textId="3636BE28" w:rsidR="4CD2F424" w:rsidRPr="002C1FD9" w:rsidRDefault="4CD2F424" w:rsidP="00612B1E">
      <w:pPr>
        <w:keepNext/>
        <w:widowControl w:val="0"/>
        <w:spacing w:before="100" w:beforeAutospacing="1" w:after="100" w:afterAutospacing="1"/>
        <w:rPr>
          <w:rFonts w:cs="Arial"/>
        </w:rPr>
      </w:pPr>
      <w:r w:rsidRPr="002C1FD9">
        <w:rPr>
          <w:rFonts w:cs="Arial"/>
        </w:rPr>
        <w:t xml:space="preserve">In response to the COVID-19 pandemic, the </w:t>
      </w:r>
      <w:r w:rsidR="00612B1E" w:rsidRPr="002C1FD9">
        <w:rPr>
          <w:rFonts w:cs="Arial"/>
        </w:rPr>
        <w:t>City</w:t>
      </w:r>
      <w:r w:rsidRPr="002C1FD9">
        <w:rPr>
          <w:rFonts w:cs="Arial"/>
        </w:rPr>
        <w:t xml:space="preserve"> again partnered with the </w:t>
      </w:r>
      <w:r w:rsidR="00612B1E" w:rsidRPr="002C1FD9">
        <w:rPr>
          <w:rFonts w:cs="Arial"/>
        </w:rPr>
        <w:t>Town of Normal</w:t>
      </w:r>
      <w:r w:rsidRPr="002C1FD9">
        <w:rPr>
          <w:rFonts w:cs="Arial"/>
        </w:rPr>
        <w:t xml:space="preserve"> and MCRPC to determine how best to disburse COVID-19-specific funding (CDBG-CV) per HUD’s guidelines. Following the distribution of a survey to the same stakeholders involved in the original consolidated planning process, the </w:t>
      </w:r>
      <w:r w:rsidR="00612B1E" w:rsidRPr="002C1FD9">
        <w:rPr>
          <w:rFonts w:cs="Arial"/>
        </w:rPr>
        <w:t>City, Town</w:t>
      </w:r>
      <w:r w:rsidRPr="002C1FD9">
        <w:rPr>
          <w:rFonts w:cs="Arial"/>
        </w:rPr>
        <w:t>, and MCRPC determined that the current priority needs relating to COVID-19 include housing, health, and food. A plan was then developed to focus funding accordingly, with the assumption that CDBG-CV funds would be expended in Program Year 2020-2021 (</w:t>
      </w:r>
      <w:r w:rsidR="00612B1E" w:rsidRPr="002C1FD9">
        <w:rPr>
          <w:rFonts w:cs="Arial"/>
        </w:rPr>
        <w:t xml:space="preserve">May </w:t>
      </w:r>
      <w:r w:rsidRPr="002C1FD9">
        <w:rPr>
          <w:rFonts w:cs="Arial"/>
        </w:rPr>
        <w:t xml:space="preserve">1, 2020 – </w:t>
      </w:r>
      <w:r w:rsidR="00612B1E" w:rsidRPr="002C1FD9">
        <w:rPr>
          <w:rFonts w:cs="Arial"/>
        </w:rPr>
        <w:t xml:space="preserve">April </w:t>
      </w:r>
      <w:r w:rsidRPr="002C1FD9">
        <w:rPr>
          <w:rFonts w:cs="Arial"/>
        </w:rPr>
        <w:t>3</w:t>
      </w:r>
      <w:r w:rsidR="00612B1E" w:rsidRPr="002C1FD9">
        <w:rPr>
          <w:rFonts w:cs="Arial"/>
        </w:rPr>
        <w:t>0</w:t>
      </w:r>
      <w:r w:rsidRPr="002C1FD9">
        <w:rPr>
          <w:rFonts w:cs="Arial"/>
        </w:rPr>
        <w:t xml:space="preserve">, 2021). </w:t>
      </w:r>
    </w:p>
    <w:p w14:paraId="742EF225" w14:textId="77777777" w:rsidR="008607D3" w:rsidRPr="002C1FD9" w:rsidRDefault="000F3005">
      <w:pPr>
        <w:keepNext/>
        <w:widowControl w:val="0"/>
        <w:spacing w:line="204" w:lineRule="auto"/>
        <w:rPr>
          <w:b/>
          <w:sz w:val="24"/>
          <w:szCs w:val="24"/>
        </w:rPr>
      </w:pPr>
      <w:r w:rsidRPr="002C1FD9">
        <w:rPr>
          <w:rFonts w:cs="Arial"/>
          <w:b/>
        </w:rPr>
        <w:t>Projects</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4114"/>
      </w:tblGrid>
      <w:tr w:rsidR="002C1FD9" w:rsidRPr="002C1FD9" w14:paraId="407CBD6F" w14:textId="77777777">
        <w:trPr>
          <w:cantSplit/>
          <w:tblHeader/>
        </w:trPr>
        <w:tc>
          <w:tcPr>
            <w:tcW w:w="0" w:type="auto"/>
          </w:tcPr>
          <w:p w14:paraId="5AFC7B24" w14:textId="77777777" w:rsidR="008607D3" w:rsidRPr="002C1FD9" w:rsidRDefault="000F3005">
            <w:pPr>
              <w:keepNext/>
              <w:widowControl w:val="0"/>
              <w:spacing w:after="0" w:line="240" w:lineRule="auto"/>
              <w:jc w:val="center"/>
              <w:rPr>
                <w:b/>
              </w:rPr>
            </w:pPr>
            <w:r w:rsidRPr="002C1FD9">
              <w:rPr>
                <w:b/>
              </w:rPr>
              <w:t>#</w:t>
            </w:r>
          </w:p>
        </w:tc>
        <w:tc>
          <w:tcPr>
            <w:tcW w:w="0" w:type="auto"/>
          </w:tcPr>
          <w:p w14:paraId="6253663D" w14:textId="77777777" w:rsidR="008607D3" w:rsidRPr="002C1FD9" w:rsidRDefault="000F3005">
            <w:pPr>
              <w:keepNext/>
              <w:widowControl w:val="0"/>
              <w:spacing w:after="0" w:line="240" w:lineRule="auto"/>
              <w:jc w:val="center"/>
              <w:rPr>
                <w:b/>
                <w:szCs w:val="24"/>
              </w:rPr>
            </w:pPr>
            <w:r w:rsidRPr="002C1FD9">
              <w:rPr>
                <w:b/>
              </w:rPr>
              <w:t>Project Name</w:t>
            </w:r>
          </w:p>
        </w:tc>
      </w:tr>
      <w:tr w:rsidR="002C1FD9" w:rsidRPr="002C1FD9" w14:paraId="239A778D" w14:textId="77777777">
        <w:trPr>
          <w:cantSplit/>
          <w:tblHeader/>
        </w:trPr>
        <w:tc>
          <w:tcPr>
            <w:tcW w:w="0" w:type="auto"/>
          </w:tcPr>
          <w:p w14:paraId="249FAAB8" w14:textId="77777777" w:rsidR="008607D3" w:rsidRPr="002C1FD9" w:rsidRDefault="007979D2">
            <w:pPr>
              <w:keepNext/>
              <w:widowControl w:val="0"/>
              <w:spacing w:after="0" w:line="240" w:lineRule="auto"/>
              <w:jc w:val="center"/>
            </w:pPr>
            <w:r w:rsidRPr="002C1FD9">
              <w:t>1</w:t>
            </w:r>
          </w:p>
        </w:tc>
        <w:tc>
          <w:tcPr>
            <w:tcW w:w="0" w:type="auto"/>
          </w:tcPr>
          <w:p w14:paraId="2039B20E" w14:textId="77777777" w:rsidR="007979D2" w:rsidRPr="002C1FD9" w:rsidRDefault="007979D2">
            <w:pPr>
              <w:keepNext/>
              <w:widowControl w:val="0"/>
              <w:spacing w:after="0" w:line="240" w:lineRule="auto"/>
              <w:jc w:val="center"/>
              <w:rPr>
                <w:szCs w:val="24"/>
              </w:rPr>
            </w:pPr>
            <w:r w:rsidRPr="002C1FD9">
              <w:rPr>
                <w:szCs w:val="24"/>
              </w:rPr>
              <w:t>Homeowner Housing Assistance</w:t>
            </w:r>
          </w:p>
        </w:tc>
      </w:tr>
      <w:tr w:rsidR="002C1FD9" w:rsidRPr="002C1FD9" w14:paraId="2E1075C1" w14:textId="77777777">
        <w:trPr>
          <w:cantSplit/>
          <w:tblHeader/>
        </w:trPr>
        <w:tc>
          <w:tcPr>
            <w:tcW w:w="0" w:type="auto"/>
          </w:tcPr>
          <w:p w14:paraId="78E884CA" w14:textId="77777777" w:rsidR="007979D2" w:rsidRPr="002C1FD9" w:rsidRDefault="007979D2">
            <w:pPr>
              <w:keepNext/>
              <w:widowControl w:val="0"/>
              <w:spacing w:after="0" w:line="240" w:lineRule="auto"/>
              <w:jc w:val="center"/>
            </w:pPr>
            <w:r w:rsidRPr="002C1FD9">
              <w:t>2</w:t>
            </w:r>
          </w:p>
        </w:tc>
        <w:tc>
          <w:tcPr>
            <w:tcW w:w="0" w:type="auto"/>
          </w:tcPr>
          <w:p w14:paraId="169A5360" w14:textId="77777777" w:rsidR="007979D2" w:rsidRPr="002C1FD9" w:rsidRDefault="007979D2">
            <w:pPr>
              <w:keepNext/>
              <w:widowControl w:val="0"/>
              <w:spacing w:after="0" w:line="240" w:lineRule="auto"/>
              <w:jc w:val="center"/>
              <w:rPr>
                <w:szCs w:val="24"/>
              </w:rPr>
            </w:pPr>
            <w:r w:rsidRPr="002C1FD9">
              <w:rPr>
                <w:szCs w:val="24"/>
              </w:rPr>
              <w:t>Rental Housing Assistance</w:t>
            </w:r>
          </w:p>
        </w:tc>
      </w:tr>
      <w:tr w:rsidR="002C1FD9" w:rsidRPr="002C1FD9" w14:paraId="4DF5BC43" w14:textId="77777777">
        <w:trPr>
          <w:cantSplit/>
          <w:tblHeader/>
        </w:trPr>
        <w:tc>
          <w:tcPr>
            <w:tcW w:w="0" w:type="auto"/>
          </w:tcPr>
          <w:p w14:paraId="7A036E3D" w14:textId="77777777" w:rsidR="007979D2" w:rsidRPr="002C1FD9" w:rsidRDefault="007979D2">
            <w:pPr>
              <w:keepNext/>
              <w:widowControl w:val="0"/>
              <w:spacing w:after="0" w:line="240" w:lineRule="auto"/>
              <w:jc w:val="center"/>
            </w:pPr>
            <w:r w:rsidRPr="002C1FD9">
              <w:t>3</w:t>
            </w:r>
          </w:p>
        </w:tc>
        <w:tc>
          <w:tcPr>
            <w:tcW w:w="0" w:type="auto"/>
          </w:tcPr>
          <w:p w14:paraId="3805A45D" w14:textId="77777777" w:rsidR="007979D2" w:rsidRPr="002C1FD9" w:rsidRDefault="007979D2">
            <w:pPr>
              <w:keepNext/>
              <w:widowControl w:val="0"/>
              <w:spacing w:after="0" w:line="240" w:lineRule="auto"/>
              <w:jc w:val="center"/>
              <w:rPr>
                <w:szCs w:val="24"/>
              </w:rPr>
            </w:pPr>
            <w:r w:rsidRPr="002C1FD9">
              <w:rPr>
                <w:szCs w:val="24"/>
              </w:rPr>
              <w:t>Rehabilitation Service Delivery Costs</w:t>
            </w:r>
          </w:p>
        </w:tc>
      </w:tr>
      <w:tr w:rsidR="002C1FD9" w:rsidRPr="002C1FD9" w14:paraId="67F50A59" w14:textId="77777777">
        <w:trPr>
          <w:cantSplit/>
          <w:tblHeader/>
        </w:trPr>
        <w:tc>
          <w:tcPr>
            <w:tcW w:w="0" w:type="auto"/>
          </w:tcPr>
          <w:p w14:paraId="7C964D78" w14:textId="77777777" w:rsidR="007979D2" w:rsidRPr="002C1FD9" w:rsidRDefault="007979D2">
            <w:pPr>
              <w:keepNext/>
              <w:widowControl w:val="0"/>
              <w:spacing w:after="0" w:line="240" w:lineRule="auto"/>
              <w:jc w:val="center"/>
            </w:pPr>
            <w:r w:rsidRPr="002C1FD9">
              <w:t>4</w:t>
            </w:r>
          </w:p>
        </w:tc>
        <w:tc>
          <w:tcPr>
            <w:tcW w:w="0" w:type="auto"/>
          </w:tcPr>
          <w:p w14:paraId="534A2DF9" w14:textId="77777777" w:rsidR="007979D2" w:rsidRPr="002C1FD9" w:rsidRDefault="007979D2">
            <w:pPr>
              <w:keepNext/>
              <w:widowControl w:val="0"/>
              <w:spacing w:after="0" w:line="240" w:lineRule="auto"/>
              <w:jc w:val="center"/>
              <w:rPr>
                <w:szCs w:val="24"/>
              </w:rPr>
            </w:pPr>
            <w:r w:rsidRPr="002C1FD9">
              <w:rPr>
                <w:szCs w:val="24"/>
              </w:rPr>
              <w:t>Residential Demolition</w:t>
            </w:r>
            <w:r w:rsidR="006E52A8" w:rsidRPr="002C1FD9">
              <w:rPr>
                <w:szCs w:val="24"/>
              </w:rPr>
              <w:t xml:space="preserve"> and Clearance</w:t>
            </w:r>
          </w:p>
        </w:tc>
      </w:tr>
      <w:tr w:rsidR="002C1FD9" w:rsidRPr="002C1FD9" w14:paraId="15A77C39" w14:textId="77777777">
        <w:trPr>
          <w:cantSplit/>
          <w:tblHeader/>
        </w:trPr>
        <w:tc>
          <w:tcPr>
            <w:tcW w:w="0" w:type="auto"/>
          </w:tcPr>
          <w:p w14:paraId="76DB90EB" w14:textId="77777777" w:rsidR="007979D2" w:rsidRPr="002C1FD9" w:rsidRDefault="007979D2">
            <w:pPr>
              <w:keepNext/>
              <w:widowControl w:val="0"/>
              <w:spacing w:after="0" w:line="240" w:lineRule="auto"/>
              <w:jc w:val="center"/>
            </w:pPr>
            <w:r w:rsidRPr="002C1FD9">
              <w:t>5</w:t>
            </w:r>
          </w:p>
        </w:tc>
        <w:tc>
          <w:tcPr>
            <w:tcW w:w="0" w:type="auto"/>
          </w:tcPr>
          <w:p w14:paraId="04633DDC" w14:textId="77777777" w:rsidR="007979D2" w:rsidRPr="002C1FD9" w:rsidRDefault="007979D2">
            <w:pPr>
              <w:keepNext/>
              <w:widowControl w:val="0"/>
              <w:spacing w:after="0" w:line="240" w:lineRule="auto"/>
              <w:jc w:val="center"/>
              <w:rPr>
                <w:szCs w:val="24"/>
              </w:rPr>
            </w:pPr>
            <w:r w:rsidRPr="002C1FD9">
              <w:rPr>
                <w:szCs w:val="24"/>
              </w:rPr>
              <w:t>Public Services</w:t>
            </w:r>
          </w:p>
        </w:tc>
      </w:tr>
      <w:tr w:rsidR="002C1FD9" w:rsidRPr="002C1FD9" w14:paraId="1F9C7F08" w14:textId="77777777">
        <w:trPr>
          <w:cantSplit/>
          <w:tblHeader/>
        </w:trPr>
        <w:tc>
          <w:tcPr>
            <w:tcW w:w="0" w:type="auto"/>
          </w:tcPr>
          <w:p w14:paraId="1946A7AE" w14:textId="77777777" w:rsidR="007979D2" w:rsidRPr="002C1FD9" w:rsidRDefault="007979D2">
            <w:pPr>
              <w:keepNext/>
              <w:widowControl w:val="0"/>
              <w:spacing w:after="0" w:line="240" w:lineRule="auto"/>
              <w:jc w:val="center"/>
            </w:pPr>
            <w:r w:rsidRPr="002C1FD9">
              <w:t>6</w:t>
            </w:r>
          </w:p>
        </w:tc>
        <w:tc>
          <w:tcPr>
            <w:tcW w:w="0" w:type="auto"/>
          </w:tcPr>
          <w:p w14:paraId="066BE248" w14:textId="77777777" w:rsidR="007979D2" w:rsidRPr="002C1FD9" w:rsidRDefault="007979D2">
            <w:pPr>
              <w:keepNext/>
              <w:widowControl w:val="0"/>
              <w:spacing w:after="0" w:line="240" w:lineRule="auto"/>
              <w:jc w:val="center"/>
              <w:rPr>
                <w:szCs w:val="24"/>
              </w:rPr>
            </w:pPr>
            <w:r w:rsidRPr="002C1FD9">
              <w:rPr>
                <w:szCs w:val="24"/>
              </w:rPr>
              <w:t>Parks and Recreation Center Improvements</w:t>
            </w:r>
          </w:p>
        </w:tc>
      </w:tr>
      <w:tr w:rsidR="002C1FD9" w:rsidRPr="002C1FD9" w14:paraId="599DE921" w14:textId="77777777">
        <w:trPr>
          <w:cantSplit/>
          <w:tblHeader/>
        </w:trPr>
        <w:tc>
          <w:tcPr>
            <w:tcW w:w="0" w:type="auto"/>
          </w:tcPr>
          <w:p w14:paraId="75697EEC" w14:textId="77777777" w:rsidR="007979D2" w:rsidRPr="002C1FD9" w:rsidRDefault="007979D2">
            <w:pPr>
              <w:keepNext/>
              <w:widowControl w:val="0"/>
              <w:spacing w:after="0" w:line="240" w:lineRule="auto"/>
              <w:jc w:val="center"/>
            </w:pPr>
            <w:r w:rsidRPr="002C1FD9">
              <w:t>7</w:t>
            </w:r>
          </w:p>
        </w:tc>
        <w:tc>
          <w:tcPr>
            <w:tcW w:w="0" w:type="auto"/>
          </w:tcPr>
          <w:p w14:paraId="348D7F8A" w14:textId="77777777" w:rsidR="007979D2" w:rsidRPr="002C1FD9" w:rsidRDefault="007979D2">
            <w:pPr>
              <w:keepNext/>
              <w:widowControl w:val="0"/>
              <w:spacing w:after="0" w:line="240" w:lineRule="auto"/>
              <w:jc w:val="center"/>
              <w:rPr>
                <w:szCs w:val="24"/>
              </w:rPr>
            </w:pPr>
            <w:r w:rsidRPr="002C1FD9">
              <w:rPr>
                <w:szCs w:val="24"/>
              </w:rPr>
              <w:t>Sidewalk Improvements</w:t>
            </w:r>
          </w:p>
        </w:tc>
      </w:tr>
      <w:tr w:rsidR="002C1FD9" w:rsidRPr="002C1FD9" w14:paraId="4C8D9A4F" w14:textId="77777777">
        <w:trPr>
          <w:cantSplit/>
          <w:tblHeader/>
        </w:trPr>
        <w:tc>
          <w:tcPr>
            <w:tcW w:w="0" w:type="auto"/>
          </w:tcPr>
          <w:p w14:paraId="44B0A208" w14:textId="77777777" w:rsidR="007979D2" w:rsidRPr="002C1FD9" w:rsidRDefault="007979D2">
            <w:pPr>
              <w:keepNext/>
              <w:widowControl w:val="0"/>
              <w:spacing w:after="0" w:line="240" w:lineRule="auto"/>
              <w:jc w:val="center"/>
            </w:pPr>
            <w:r w:rsidRPr="002C1FD9">
              <w:t>8</w:t>
            </w:r>
          </w:p>
        </w:tc>
        <w:tc>
          <w:tcPr>
            <w:tcW w:w="0" w:type="auto"/>
          </w:tcPr>
          <w:p w14:paraId="4D726310" w14:textId="77777777" w:rsidR="007979D2" w:rsidRPr="002C1FD9" w:rsidRDefault="007979D2">
            <w:pPr>
              <w:keepNext/>
              <w:widowControl w:val="0"/>
              <w:spacing w:after="0" w:line="240" w:lineRule="auto"/>
              <w:jc w:val="center"/>
              <w:rPr>
                <w:szCs w:val="24"/>
              </w:rPr>
            </w:pPr>
            <w:r w:rsidRPr="002C1FD9">
              <w:rPr>
                <w:szCs w:val="24"/>
              </w:rPr>
              <w:t>Non-Profit Building Improvements</w:t>
            </w:r>
          </w:p>
        </w:tc>
      </w:tr>
      <w:tr w:rsidR="002C1FD9" w:rsidRPr="002C1FD9" w14:paraId="38957BC9" w14:textId="77777777">
        <w:trPr>
          <w:cantSplit/>
          <w:tblHeader/>
        </w:trPr>
        <w:tc>
          <w:tcPr>
            <w:tcW w:w="0" w:type="auto"/>
          </w:tcPr>
          <w:p w14:paraId="2B2B7304" w14:textId="77777777" w:rsidR="007979D2" w:rsidRPr="002C1FD9" w:rsidRDefault="007979D2">
            <w:pPr>
              <w:keepNext/>
              <w:widowControl w:val="0"/>
              <w:spacing w:after="0" w:line="240" w:lineRule="auto"/>
              <w:jc w:val="center"/>
            </w:pPr>
            <w:r w:rsidRPr="002C1FD9">
              <w:t>9</w:t>
            </w:r>
          </w:p>
        </w:tc>
        <w:tc>
          <w:tcPr>
            <w:tcW w:w="0" w:type="auto"/>
          </w:tcPr>
          <w:p w14:paraId="7F6C7ADC" w14:textId="77777777" w:rsidR="007979D2" w:rsidRPr="002C1FD9" w:rsidRDefault="007979D2">
            <w:pPr>
              <w:keepNext/>
              <w:widowControl w:val="0"/>
              <w:spacing w:after="0" w:line="240" w:lineRule="auto"/>
              <w:jc w:val="center"/>
              <w:rPr>
                <w:szCs w:val="24"/>
              </w:rPr>
            </w:pPr>
            <w:r w:rsidRPr="002C1FD9">
              <w:rPr>
                <w:szCs w:val="24"/>
              </w:rPr>
              <w:t>CDBG General Administration</w:t>
            </w:r>
          </w:p>
        </w:tc>
      </w:tr>
      <w:tr w:rsidR="002C1FD9" w:rsidRPr="002C1FD9" w14:paraId="33C30ADD" w14:textId="77777777">
        <w:trPr>
          <w:cantSplit/>
          <w:tblHeader/>
        </w:trPr>
        <w:tc>
          <w:tcPr>
            <w:tcW w:w="0" w:type="auto"/>
          </w:tcPr>
          <w:p w14:paraId="5D369756" w14:textId="77777777" w:rsidR="007979D2" w:rsidRPr="002C1FD9" w:rsidRDefault="007979D2">
            <w:pPr>
              <w:keepNext/>
              <w:widowControl w:val="0"/>
              <w:spacing w:after="0" w:line="240" w:lineRule="auto"/>
              <w:jc w:val="center"/>
            </w:pPr>
            <w:r w:rsidRPr="002C1FD9">
              <w:t>10</w:t>
            </w:r>
          </w:p>
        </w:tc>
        <w:tc>
          <w:tcPr>
            <w:tcW w:w="0" w:type="auto"/>
          </w:tcPr>
          <w:p w14:paraId="1CFD8D4C" w14:textId="77777777" w:rsidR="007979D2" w:rsidRPr="002C1FD9" w:rsidRDefault="007979D2">
            <w:pPr>
              <w:keepNext/>
              <w:widowControl w:val="0"/>
              <w:spacing w:after="0" w:line="240" w:lineRule="auto"/>
              <w:jc w:val="center"/>
              <w:rPr>
                <w:szCs w:val="24"/>
              </w:rPr>
            </w:pPr>
            <w:r w:rsidRPr="002C1FD9">
              <w:rPr>
                <w:szCs w:val="24"/>
              </w:rPr>
              <w:t>CDBG Administrative Programs</w:t>
            </w:r>
          </w:p>
        </w:tc>
      </w:tr>
      <w:tr w:rsidR="002C1FD9" w:rsidRPr="002C1FD9" w14:paraId="0C1414AC" w14:textId="77777777">
        <w:trPr>
          <w:cantSplit/>
          <w:tblHeader/>
        </w:trPr>
        <w:tc>
          <w:tcPr>
            <w:tcW w:w="0" w:type="auto"/>
          </w:tcPr>
          <w:p w14:paraId="4737E36C" w14:textId="77777777" w:rsidR="007979D2" w:rsidRPr="002C1FD9" w:rsidRDefault="007979D2">
            <w:pPr>
              <w:keepNext/>
              <w:widowControl w:val="0"/>
              <w:spacing w:after="0" w:line="240" w:lineRule="auto"/>
              <w:jc w:val="center"/>
            </w:pPr>
            <w:r w:rsidRPr="002C1FD9">
              <w:t>11</w:t>
            </w:r>
          </w:p>
        </w:tc>
        <w:tc>
          <w:tcPr>
            <w:tcW w:w="0" w:type="auto"/>
          </w:tcPr>
          <w:p w14:paraId="1CB5CCA4" w14:textId="77777777" w:rsidR="007979D2" w:rsidRPr="002C1FD9" w:rsidRDefault="007979D2">
            <w:pPr>
              <w:keepNext/>
              <w:widowControl w:val="0"/>
              <w:spacing w:after="0" w:line="240" w:lineRule="auto"/>
              <w:jc w:val="center"/>
              <w:rPr>
                <w:szCs w:val="24"/>
              </w:rPr>
            </w:pPr>
            <w:r w:rsidRPr="002C1FD9">
              <w:rPr>
                <w:szCs w:val="24"/>
              </w:rPr>
              <w:t>CDBG Planning</w:t>
            </w:r>
          </w:p>
        </w:tc>
      </w:tr>
      <w:tr w:rsidR="002C1FD9" w:rsidRPr="002C1FD9" w14:paraId="1856EB0A" w14:textId="77777777">
        <w:trPr>
          <w:cantSplit/>
          <w:tblHeader/>
        </w:trPr>
        <w:tc>
          <w:tcPr>
            <w:tcW w:w="0" w:type="auto"/>
          </w:tcPr>
          <w:p w14:paraId="4B73E586" w14:textId="77777777" w:rsidR="006E52A8" w:rsidRPr="002C1FD9" w:rsidRDefault="006E52A8">
            <w:pPr>
              <w:keepNext/>
              <w:widowControl w:val="0"/>
              <w:spacing w:after="0" w:line="240" w:lineRule="auto"/>
              <w:jc w:val="center"/>
            </w:pPr>
            <w:r w:rsidRPr="002C1FD9">
              <w:t>12</w:t>
            </w:r>
          </w:p>
        </w:tc>
        <w:tc>
          <w:tcPr>
            <w:tcW w:w="0" w:type="auto"/>
          </w:tcPr>
          <w:p w14:paraId="450861B8" w14:textId="77777777" w:rsidR="006E52A8" w:rsidRPr="002C1FD9" w:rsidRDefault="006E52A8">
            <w:pPr>
              <w:keepNext/>
              <w:widowControl w:val="0"/>
              <w:spacing w:after="0" w:line="240" w:lineRule="auto"/>
              <w:jc w:val="center"/>
              <w:rPr>
                <w:szCs w:val="24"/>
              </w:rPr>
            </w:pPr>
            <w:r w:rsidRPr="002C1FD9">
              <w:rPr>
                <w:szCs w:val="24"/>
              </w:rPr>
              <w:t>COVID-19 Response</w:t>
            </w:r>
          </w:p>
        </w:tc>
      </w:tr>
    </w:tbl>
    <w:p w14:paraId="38310BA3" w14:textId="77777777" w:rsidR="008607D3" w:rsidRPr="002C1FD9" w:rsidRDefault="000F3005">
      <w:pPr>
        <w:pStyle w:val="Caption"/>
        <w:rPr>
          <w:rFonts w:asciiTheme="minorHAnsi" w:hAnsiTheme="minorHAnsi"/>
        </w:rPr>
      </w:pPr>
      <w:r w:rsidRPr="002C1FD9">
        <w:rPr>
          <w:rFonts w:asciiTheme="minorHAnsi" w:hAnsiTheme="minorHAnsi"/>
        </w:rPr>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3</w:t>
      </w:r>
      <w:r w:rsidRPr="002C1FD9">
        <w:rPr>
          <w:rFonts w:asciiTheme="minorHAnsi" w:hAnsiTheme="minorHAnsi"/>
        </w:rPr>
        <w:fldChar w:fldCharType="end"/>
      </w:r>
      <w:r w:rsidRPr="002C1FD9">
        <w:rPr>
          <w:rFonts w:asciiTheme="minorHAnsi" w:hAnsiTheme="minorHAnsi"/>
        </w:rPr>
        <w:t xml:space="preserve"> - Project Information</w:t>
      </w:r>
    </w:p>
    <w:p w14:paraId="4101652C" w14:textId="77777777" w:rsidR="008607D3" w:rsidRPr="002C1FD9" w:rsidRDefault="008607D3">
      <w:pPr>
        <w:spacing w:after="0" w:line="240" w:lineRule="auto"/>
        <w:rPr>
          <w:b/>
          <w:sz w:val="24"/>
          <w:szCs w:val="24"/>
        </w:rPr>
      </w:pPr>
    </w:p>
    <w:p w14:paraId="593D3696" w14:textId="77777777" w:rsidR="008607D3" w:rsidRPr="002C1FD9" w:rsidRDefault="000F3005">
      <w:pPr>
        <w:keepNext/>
        <w:widowControl w:val="0"/>
        <w:spacing w:line="204" w:lineRule="auto"/>
        <w:rPr>
          <w:b/>
          <w:sz w:val="24"/>
          <w:szCs w:val="24"/>
        </w:rPr>
      </w:pPr>
      <w:r w:rsidRPr="002C1FD9">
        <w:rPr>
          <w:b/>
          <w:sz w:val="24"/>
          <w:szCs w:val="24"/>
        </w:rPr>
        <w:t>Describe the reasons for allocation priorities and any obstacles to addressing underserved needs</w:t>
      </w:r>
    </w:p>
    <w:p w14:paraId="30DB9EB3" w14:textId="77777777" w:rsidR="008607D3" w:rsidRPr="002C1FD9" w:rsidRDefault="000F3005">
      <w:pPr>
        <w:keepNext/>
        <w:widowControl w:val="0"/>
        <w:spacing w:beforeAutospacing="1" w:afterAutospacing="1"/>
        <w:rPr>
          <w:rFonts w:cs="Arial"/>
          <w:szCs w:val="24"/>
        </w:rPr>
      </w:pPr>
      <w:r w:rsidRPr="002C1FD9">
        <w:rPr>
          <w:rFonts w:cs="Arial"/>
        </w:rPr>
        <w:t xml:space="preserve">Funds have been allocated based on needs identified during consultation for the 2020-2024 Consolidated Plan.  The City accepted applications for assistance under this Annual Action Plan.  Many of the activities proposed for this action plan were selected based on recommendations from outside grant reviewers. Funds were allocated in a way that staff felt would remain true to the mission of CDBG as well as the consultation process.  Public Service funding is capped at 15% per federal regulations. </w:t>
      </w:r>
      <w:r w:rsidRPr="002C1FD9">
        <w:rPr>
          <w:rFonts w:cs="Arial"/>
        </w:rPr>
        <w:lastRenderedPageBreak/>
        <w:t>Although regulations cap administration funding 20%, funds allocated under this Annual Action Plan represent less than 10% of the total budget, providing the opportunity for more funding to support programs and services benefitting Bloomington's residents. </w:t>
      </w:r>
    </w:p>
    <w:p w14:paraId="5ECC8D23" w14:textId="77777777" w:rsidR="008607D3" w:rsidRPr="002C1FD9" w:rsidRDefault="000F3005">
      <w:pPr>
        <w:keepNext/>
        <w:widowControl w:val="0"/>
        <w:spacing w:beforeAutospacing="1" w:afterAutospacing="1"/>
        <w:rPr>
          <w:rFonts w:cs="Arial"/>
          <w:szCs w:val="24"/>
        </w:rPr>
      </w:pPr>
      <w:r w:rsidRPr="002C1FD9">
        <w:rPr>
          <w:rFonts w:cs="Arial"/>
        </w:rPr>
        <w:t xml:space="preserve">Available funding is, as always, the primary obstacle to addressing underserved needs.  The needs far exceed the funding available to address them.  Staff will continue to look for funding sources outside of CDBG to address the highest priorities identified in the Consolidated Plan.  However, new staff position(s) are necessary to implement programs supported under new funding opportunities.    </w:t>
      </w:r>
    </w:p>
    <w:p w14:paraId="4B99056E" w14:textId="77777777" w:rsidR="008607D3" w:rsidRPr="002C1FD9" w:rsidRDefault="008607D3">
      <w:pPr>
        <w:rPr>
          <w:rFonts w:cs="Arial"/>
        </w:rPr>
        <w:sectPr w:rsidR="008607D3" w:rsidRPr="002C1FD9">
          <w:pgSz w:w="12240" w:h="15840" w:code="1"/>
          <w:pgMar w:top="1440" w:right="1440" w:bottom="1440" w:left="1440" w:header="720" w:footer="720" w:gutter="0"/>
          <w:cols w:space="720"/>
          <w:docGrid w:linePitch="360"/>
        </w:sectPr>
      </w:pPr>
    </w:p>
    <w:p w14:paraId="0D18667E" w14:textId="77777777" w:rsidR="008607D3" w:rsidRPr="002C1FD9" w:rsidRDefault="000F3005">
      <w:pPr>
        <w:pStyle w:val="Heading2"/>
        <w:rPr>
          <w:rFonts w:ascii="Calibri" w:hAnsi="Calibri"/>
          <w:i w:val="0"/>
        </w:rPr>
      </w:pPr>
      <w:r w:rsidRPr="002C1FD9">
        <w:rPr>
          <w:rFonts w:ascii="Calibri" w:hAnsi="Calibri"/>
          <w:i w:val="0"/>
        </w:rPr>
        <w:lastRenderedPageBreak/>
        <w:t>AP-38 Project Summary</w:t>
      </w:r>
    </w:p>
    <w:p w14:paraId="5A82E663" w14:textId="77777777" w:rsidR="008607D3" w:rsidRPr="002C1FD9" w:rsidRDefault="000F3005">
      <w:pPr>
        <w:keepNext/>
        <w:widowControl w:val="0"/>
        <w:rPr>
          <w:b/>
          <w:sz w:val="24"/>
          <w:szCs w:val="24"/>
        </w:rPr>
      </w:pPr>
      <w:r w:rsidRPr="002C1FD9">
        <w:rPr>
          <w:b/>
          <w:sz w:val="24"/>
          <w:szCs w:val="24"/>
        </w:rPr>
        <w:t>Project Summary Information</w:t>
      </w:r>
    </w:p>
    <w:tbl>
      <w:tblPr>
        <w:tblStyle w:val="TableGrid"/>
        <w:tblW w:w="0" w:type="auto"/>
        <w:tblLook w:val="04A0" w:firstRow="1" w:lastRow="0" w:firstColumn="1" w:lastColumn="0" w:noHBand="0" w:noVBand="1"/>
      </w:tblPr>
      <w:tblGrid>
        <w:gridCol w:w="439"/>
        <w:gridCol w:w="2390"/>
        <w:gridCol w:w="6406"/>
      </w:tblGrid>
      <w:tr w:rsidR="002C1FD9" w:rsidRPr="002C1FD9" w14:paraId="08C25871" w14:textId="77777777" w:rsidTr="00F227C0">
        <w:tc>
          <w:tcPr>
            <w:tcW w:w="440" w:type="dxa"/>
            <w:vMerge w:val="restart"/>
          </w:tcPr>
          <w:p w14:paraId="19F14E3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1</w:t>
            </w:r>
          </w:p>
        </w:tc>
        <w:tc>
          <w:tcPr>
            <w:tcW w:w="2416" w:type="dxa"/>
          </w:tcPr>
          <w:p w14:paraId="186D9FD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216BC3F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Homeowner Housing Assistance</w:t>
            </w:r>
          </w:p>
        </w:tc>
      </w:tr>
      <w:tr w:rsidR="002C1FD9" w:rsidRPr="002C1FD9" w14:paraId="148AC451" w14:textId="77777777" w:rsidTr="00F227C0">
        <w:tc>
          <w:tcPr>
            <w:tcW w:w="440" w:type="dxa"/>
            <w:vMerge/>
          </w:tcPr>
          <w:p w14:paraId="1299C43A" w14:textId="77777777" w:rsidR="00F227C0" w:rsidRPr="002C1FD9" w:rsidRDefault="00F227C0" w:rsidP="00F227C0">
            <w:pPr>
              <w:rPr>
                <w:rFonts w:asciiTheme="minorHAnsi" w:hAnsiTheme="minorHAnsi"/>
                <w:b/>
                <w:bCs/>
                <w:sz w:val="18"/>
                <w:szCs w:val="18"/>
              </w:rPr>
            </w:pPr>
          </w:p>
        </w:tc>
        <w:tc>
          <w:tcPr>
            <w:tcW w:w="2416" w:type="dxa"/>
          </w:tcPr>
          <w:p w14:paraId="005A673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67C03AC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w:t>
            </w:r>
          </w:p>
        </w:tc>
      </w:tr>
      <w:tr w:rsidR="002C1FD9" w:rsidRPr="002C1FD9" w14:paraId="54FA9C70" w14:textId="77777777" w:rsidTr="00F227C0">
        <w:tc>
          <w:tcPr>
            <w:tcW w:w="440" w:type="dxa"/>
            <w:vMerge/>
          </w:tcPr>
          <w:p w14:paraId="4DDBEF00" w14:textId="77777777" w:rsidR="00F227C0" w:rsidRPr="002C1FD9" w:rsidRDefault="00F227C0" w:rsidP="00F227C0">
            <w:pPr>
              <w:rPr>
                <w:rFonts w:asciiTheme="minorHAnsi" w:hAnsiTheme="minorHAnsi"/>
                <w:b/>
                <w:bCs/>
                <w:sz w:val="18"/>
                <w:szCs w:val="18"/>
              </w:rPr>
            </w:pPr>
          </w:p>
        </w:tc>
        <w:tc>
          <w:tcPr>
            <w:tcW w:w="2416" w:type="dxa"/>
          </w:tcPr>
          <w:p w14:paraId="7DDF111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7FEE56A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Preservation of Affordable Housing</w:t>
            </w:r>
          </w:p>
        </w:tc>
      </w:tr>
      <w:tr w:rsidR="002C1FD9" w:rsidRPr="002C1FD9" w14:paraId="7AA49C65" w14:textId="77777777" w:rsidTr="00F227C0">
        <w:tc>
          <w:tcPr>
            <w:tcW w:w="440" w:type="dxa"/>
            <w:vMerge/>
          </w:tcPr>
          <w:p w14:paraId="3461D779" w14:textId="77777777" w:rsidR="00F227C0" w:rsidRPr="002C1FD9" w:rsidRDefault="00F227C0" w:rsidP="00F227C0">
            <w:pPr>
              <w:rPr>
                <w:rFonts w:asciiTheme="minorHAnsi" w:hAnsiTheme="minorHAnsi"/>
                <w:b/>
                <w:bCs/>
                <w:sz w:val="18"/>
                <w:szCs w:val="18"/>
              </w:rPr>
            </w:pPr>
          </w:p>
        </w:tc>
        <w:tc>
          <w:tcPr>
            <w:tcW w:w="2416" w:type="dxa"/>
          </w:tcPr>
          <w:p w14:paraId="4DCE482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1F554CB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Accessibility Improvements; Affordable Housing Preservation</w:t>
            </w:r>
          </w:p>
        </w:tc>
      </w:tr>
      <w:tr w:rsidR="002C1FD9" w:rsidRPr="002C1FD9" w14:paraId="05EB0070" w14:textId="77777777" w:rsidTr="00F227C0">
        <w:tc>
          <w:tcPr>
            <w:tcW w:w="440" w:type="dxa"/>
            <w:vMerge/>
          </w:tcPr>
          <w:p w14:paraId="3CF2D8B6" w14:textId="77777777" w:rsidR="00F227C0" w:rsidRPr="002C1FD9" w:rsidRDefault="00F227C0" w:rsidP="00F227C0">
            <w:pPr>
              <w:rPr>
                <w:rFonts w:asciiTheme="minorHAnsi" w:hAnsiTheme="minorHAnsi"/>
                <w:b/>
                <w:bCs/>
                <w:sz w:val="18"/>
                <w:szCs w:val="18"/>
              </w:rPr>
            </w:pPr>
          </w:p>
        </w:tc>
        <w:tc>
          <w:tcPr>
            <w:tcW w:w="2416" w:type="dxa"/>
          </w:tcPr>
          <w:p w14:paraId="50AD78B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3911557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$214,406</w:t>
            </w:r>
          </w:p>
        </w:tc>
      </w:tr>
      <w:tr w:rsidR="002C1FD9" w:rsidRPr="002C1FD9" w14:paraId="7F777D17" w14:textId="77777777" w:rsidTr="00F227C0">
        <w:tc>
          <w:tcPr>
            <w:tcW w:w="440" w:type="dxa"/>
            <w:vMerge/>
          </w:tcPr>
          <w:p w14:paraId="0FB78278" w14:textId="77777777" w:rsidR="00F227C0" w:rsidRPr="002C1FD9" w:rsidRDefault="00F227C0" w:rsidP="00F227C0">
            <w:pPr>
              <w:rPr>
                <w:rFonts w:asciiTheme="minorHAnsi" w:hAnsiTheme="minorHAnsi"/>
                <w:b/>
                <w:bCs/>
                <w:sz w:val="18"/>
                <w:szCs w:val="18"/>
              </w:rPr>
            </w:pPr>
          </w:p>
        </w:tc>
        <w:tc>
          <w:tcPr>
            <w:tcW w:w="2416" w:type="dxa"/>
          </w:tcPr>
          <w:p w14:paraId="31FF54C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76A5571E"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Activities completed under this project will include moderate rehabilitation, accessibility improvements and facade improvements at owner-occupied housing units.  Owners will meet income qualifications.</w:t>
            </w:r>
          </w:p>
        </w:tc>
      </w:tr>
      <w:tr w:rsidR="002C1FD9" w:rsidRPr="002C1FD9" w14:paraId="647C8F99" w14:textId="77777777" w:rsidTr="00F227C0">
        <w:tc>
          <w:tcPr>
            <w:tcW w:w="440" w:type="dxa"/>
            <w:vMerge/>
          </w:tcPr>
          <w:p w14:paraId="1FC39945" w14:textId="77777777" w:rsidR="00F227C0" w:rsidRPr="002C1FD9" w:rsidRDefault="00F227C0" w:rsidP="00F227C0">
            <w:pPr>
              <w:rPr>
                <w:rFonts w:asciiTheme="minorHAnsi" w:hAnsiTheme="minorHAnsi"/>
                <w:b/>
                <w:bCs/>
                <w:sz w:val="18"/>
                <w:szCs w:val="18"/>
              </w:rPr>
            </w:pPr>
          </w:p>
        </w:tc>
        <w:tc>
          <w:tcPr>
            <w:tcW w:w="2416" w:type="dxa"/>
          </w:tcPr>
          <w:p w14:paraId="140D3BB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6351A3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76D20932" w14:textId="77777777" w:rsidTr="00F227C0">
        <w:tc>
          <w:tcPr>
            <w:tcW w:w="440" w:type="dxa"/>
            <w:vMerge/>
          </w:tcPr>
          <w:p w14:paraId="0562CB0E" w14:textId="77777777" w:rsidR="00F227C0" w:rsidRPr="002C1FD9" w:rsidRDefault="00F227C0" w:rsidP="00F227C0">
            <w:pPr>
              <w:rPr>
                <w:rFonts w:asciiTheme="minorHAnsi" w:hAnsiTheme="minorHAnsi"/>
                <w:b/>
                <w:bCs/>
                <w:sz w:val="18"/>
                <w:szCs w:val="18"/>
              </w:rPr>
            </w:pPr>
          </w:p>
        </w:tc>
        <w:tc>
          <w:tcPr>
            <w:tcW w:w="2416" w:type="dxa"/>
          </w:tcPr>
          <w:p w14:paraId="460134C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41C17F1A" w14:textId="77777777" w:rsidR="00F227C0" w:rsidRPr="002C1FD9" w:rsidRDefault="00F227C0" w:rsidP="00F227C0">
            <w:pPr>
              <w:pStyle w:val="NormalWeb"/>
              <w:rPr>
                <w:rFonts w:asciiTheme="minorHAnsi" w:hAnsiTheme="minorHAnsi"/>
                <w:sz w:val="18"/>
                <w:szCs w:val="18"/>
              </w:rPr>
            </w:pPr>
            <w:r w:rsidRPr="002C1FD9">
              <w:rPr>
                <w:rFonts w:asciiTheme="minorHAnsi" w:hAnsiTheme="minorHAnsi"/>
                <w:sz w:val="18"/>
                <w:szCs w:val="18"/>
              </w:rPr>
              <w:t>All homeowners assisted through this project will meet HUD income guidelines.  The City estimates completing 25 activities under this project. </w:t>
            </w:r>
          </w:p>
          <w:p w14:paraId="34CE0A41" w14:textId="77777777" w:rsidR="00F227C0" w:rsidRPr="002C1FD9" w:rsidRDefault="00F227C0" w:rsidP="00F227C0">
            <w:pPr>
              <w:rPr>
                <w:rFonts w:asciiTheme="minorHAnsi" w:hAnsiTheme="minorHAnsi"/>
                <w:sz w:val="18"/>
                <w:szCs w:val="18"/>
              </w:rPr>
            </w:pPr>
          </w:p>
        </w:tc>
      </w:tr>
      <w:tr w:rsidR="002C1FD9" w:rsidRPr="002C1FD9" w14:paraId="2F5BCEB2" w14:textId="77777777" w:rsidTr="00F227C0">
        <w:trPr>
          <w:trHeight w:val="503"/>
        </w:trPr>
        <w:tc>
          <w:tcPr>
            <w:tcW w:w="440" w:type="dxa"/>
            <w:vMerge/>
          </w:tcPr>
          <w:p w14:paraId="62EBF3C5" w14:textId="77777777" w:rsidR="00F227C0" w:rsidRPr="002C1FD9" w:rsidRDefault="00F227C0" w:rsidP="00F227C0">
            <w:pPr>
              <w:rPr>
                <w:rFonts w:asciiTheme="minorHAnsi" w:hAnsiTheme="minorHAnsi"/>
                <w:b/>
                <w:bCs/>
                <w:sz w:val="18"/>
                <w:szCs w:val="18"/>
              </w:rPr>
            </w:pPr>
          </w:p>
        </w:tc>
        <w:tc>
          <w:tcPr>
            <w:tcW w:w="2416" w:type="dxa"/>
          </w:tcPr>
          <w:p w14:paraId="0B7263F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7DE67F3A" w14:textId="77777777" w:rsidR="00F227C0" w:rsidRPr="002C1FD9" w:rsidRDefault="00F227C0" w:rsidP="00F227C0">
            <w:pPr>
              <w:pStyle w:val="NormalWeb"/>
              <w:rPr>
                <w:rFonts w:asciiTheme="minorHAnsi" w:hAnsiTheme="minorHAnsi"/>
                <w:sz w:val="18"/>
                <w:szCs w:val="18"/>
              </w:rPr>
            </w:pPr>
            <w:r w:rsidRPr="002C1FD9">
              <w:rPr>
                <w:rFonts w:asciiTheme="minorHAnsi" w:hAnsiTheme="minorHAnsi"/>
                <w:sz w:val="18"/>
                <w:szCs w:val="18"/>
              </w:rPr>
              <w:t>Homeowner applications are accepted on a rolling cycle.  There is not a waiting list at this time. </w:t>
            </w:r>
          </w:p>
          <w:p w14:paraId="6D98A12B" w14:textId="77777777" w:rsidR="00F227C0" w:rsidRPr="002C1FD9" w:rsidRDefault="00F227C0" w:rsidP="00F227C0">
            <w:pPr>
              <w:rPr>
                <w:rFonts w:asciiTheme="minorHAnsi" w:hAnsiTheme="minorHAnsi"/>
                <w:sz w:val="18"/>
                <w:szCs w:val="18"/>
              </w:rPr>
            </w:pPr>
          </w:p>
        </w:tc>
      </w:tr>
      <w:tr w:rsidR="002C1FD9" w:rsidRPr="002C1FD9" w14:paraId="53EA250F" w14:textId="77777777" w:rsidTr="00F227C0">
        <w:tc>
          <w:tcPr>
            <w:tcW w:w="440" w:type="dxa"/>
            <w:vMerge/>
          </w:tcPr>
          <w:p w14:paraId="2946DB82" w14:textId="77777777" w:rsidR="00F227C0" w:rsidRPr="002C1FD9" w:rsidRDefault="00F227C0" w:rsidP="00F227C0">
            <w:pPr>
              <w:rPr>
                <w:rFonts w:asciiTheme="minorHAnsi" w:hAnsiTheme="minorHAnsi"/>
                <w:b/>
                <w:bCs/>
                <w:sz w:val="18"/>
                <w:szCs w:val="18"/>
              </w:rPr>
            </w:pPr>
          </w:p>
        </w:tc>
        <w:tc>
          <w:tcPr>
            <w:tcW w:w="2416" w:type="dxa"/>
          </w:tcPr>
          <w:p w14:paraId="67EFB58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16CF9CC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 xml:space="preserve">Homeowner requests for housing rehabilitation vary depending on specific needs.  Work performed under this project will likely include roof, siding, door and window replacement; new soffit, fascia and gutters; new HVAC plumbing and electrical; and emergency water and sewer line </w:t>
            </w:r>
            <w:r w:rsidR="00067151" w:rsidRPr="002C1FD9">
              <w:rPr>
                <w:rFonts w:asciiTheme="minorHAnsi" w:hAnsiTheme="minorHAnsi"/>
                <w:sz w:val="18"/>
                <w:szCs w:val="18"/>
              </w:rPr>
              <w:t>replacement</w:t>
            </w:r>
            <w:r w:rsidRPr="002C1FD9">
              <w:rPr>
                <w:rFonts w:asciiTheme="minorHAnsi" w:hAnsiTheme="minorHAnsi"/>
                <w:sz w:val="18"/>
                <w:szCs w:val="18"/>
              </w:rPr>
              <w:t xml:space="preserve">.  Homeowner assistance is provided through a 0% interest, deferred interest mortgage.  Homeowner grants are available under very limited circumstances, typically for construction of accessibility ramps and facade repairs completed through </w:t>
            </w:r>
            <w:proofErr w:type="spellStart"/>
            <w:r w:rsidRPr="002C1FD9">
              <w:rPr>
                <w:rFonts w:asciiTheme="minorHAnsi" w:hAnsiTheme="minorHAnsi"/>
                <w:sz w:val="18"/>
                <w:szCs w:val="18"/>
              </w:rPr>
              <w:t>subrecipient</w:t>
            </w:r>
            <w:proofErr w:type="spellEnd"/>
            <w:r w:rsidRPr="002C1FD9">
              <w:rPr>
                <w:rFonts w:asciiTheme="minorHAnsi" w:hAnsiTheme="minorHAnsi"/>
                <w:sz w:val="18"/>
                <w:szCs w:val="18"/>
              </w:rPr>
              <w:t xml:space="preserve"> agreement(s).</w:t>
            </w:r>
          </w:p>
        </w:tc>
      </w:tr>
      <w:tr w:rsidR="002C1FD9" w:rsidRPr="002C1FD9" w14:paraId="7842F596" w14:textId="77777777" w:rsidTr="00F227C0">
        <w:tc>
          <w:tcPr>
            <w:tcW w:w="440" w:type="dxa"/>
            <w:vMerge w:val="restart"/>
          </w:tcPr>
          <w:p w14:paraId="2CC21B9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2</w:t>
            </w:r>
          </w:p>
        </w:tc>
        <w:tc>
          <w:tcPr>
            <w:tcW w:w="2416" w:type="dxa"/>
          </w:tcPr>
          <w:p w14:paraId="5997CC1D" w14:textId="77777777" w:rsidR="00F227C0" w:rsidRPr="002C1FD9" w:rsidRDefault="00F227C0" w:rsidP="00F227C0">
            <w:pPr>
              <w:rPr>
                <w:rFonts w:asciiTheme="minorHAnsi" w:hAnsiTheme="minorHAnsi"/>
                <w:b/>
                <w:bCs/>
                <w:sz w:val="18"/>
                <w:szCs w:val="18"/>
              </w:rPr>
            </w:pPr>
          </w:p>
        </w:tc>
        <w:tc>
          <w:tcPr>
            <w:tcW w:w="6494" w:type="dxa"/>
          </w:tcPr>
          <w:p w14:paraId="110FFD37" w14:textId="77777777" w:rsidR="00F227C0" w:rsidRPr="002C1FD9" w:rsidRDefault="00F227C0" w:rsidP="00F227C0">
            <w:pPr>
              <w:rPr>
                <w:rFonts w:asciiTheme="minorHAnsi" w:hAnsiTheme="minorHAnsi"/>
                <w:b/>
                <w:bCs/>
                <w:sz w:val="18"/>
                <w:szCs w:val="18"/>
              </w:rPr>
            </w:pPr>
          </w:p>
        </w:tc>
      </w:tr>
      <w:tr w:rsidR="002C1FD9" w:rsidRPr="002C1FD9" w14:paraId="7F55740E" w14:textId="77777777" w:rsidTr="00F227C0">
        <w:tc>
          <w:tcPr>
            <w:tcW w:w="440" w:type="dxa"/>
            <w:vMerge/>
          </w:tcPr>
          <w:p w14:paraId="6B699379" w14:textId="77777777" w:rsidR="00F227C0" w:rsidRPr="002C1FD9" w:rsidRDefault="00F227C0" w:rsidP="00F227C0">
            <w:pPr>
              <w:rPr>
                <w:rFonts w:asciiTheme="minorHAnsi" w:hAnsiTheme="minorHAnsi"/>
                <w:b/>
                <w:bCs/>
                <w:sz w:val="18"/>
                <w:szCs w:val="18"/>
              </w:rPr>
            </w:pPr>
          </w:p>
        </w:tc>
        <w:tc>
          <w:tcPr>
            <w:tcW w:w="2416" w:type="dxa"/>
          </w:tcPr>
          <w:p w14:paraId="141876E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7DF79CE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Rental Housing Rehabilitation</w:t>
            </w:r>
          </w:p>
        </w:tc>
      </w:tr>
      <w:tr w:rsidR="002C1FD9" w:rsidRPr="002C1FD9" w14:paraId="5443F625" w14:textId="77777777" w:rsidTr="00F227C0">
        <w:tc>
          <w:tcPr>
            <w:tcW w:w="440" w:type="dxa"/>
            <w:vMerge/>
          </w:tcPr>
          <w:p w14:paraId="3FE9F23F" w14:textId="77777777" w:rsidR="00F227C0" w:rsidRPr="002C1FD9" w:rsidRDefault="00F227C0" w:rsidP="00F227C0">
            <w:pPr>
              <w:rPr>
                <w:rFonts w:asciiTheme="minorHAnsi" w:hAnsiTheme="minorHAnsi"/>
                <w:b/>
                <w:bCs/>
                <w:sz w:val="18"/>
                <w:szCs w:val="18"/>
              </w:rPr>
            </w:pPr>
          </w:p>
        </w:tc>
        <w:tc>
          <w:tcPr>
            <w:tcW w:w="2416" w:type="dxa"/>
          </w:tcPr>
          <w:p w14:paraId="69A2429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38C1CFBF"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 Local Target area; WBRP Service Area – Local Target area; LMA Preservation area</w:t>
            </w:r>
          </w:p>
        </w:tc>
      </w:tr>
      <w:tr w:rsidR="002C1FD9" w:rsidRPr="002C1FD9" w14:paraId="020D1DC4" w14:textId="77777777" w:rsidTr="00F227C0">
        <w:tc>
          <w:tcPr>
            <w:tcW w:w="440" w:type="dxa"/>
            <w:vMerge/>
          </w:tcPr>
          <w:p w14:paraId="1F72F646" w14:textId="77777777" w:rsidR="00F227C0" w:rsidRPr="002C1FD9" w:rsidRDefault="00F227C0" w:rsidP="00F227C0">
            <w:pPr>
              <w:rPr>
                <w:rFonts w:asciiTheme="minorHAnsi" w:hAnsiTheme="minorHAnsi"/>
                <w:b/>
                <w:bCs/>
                <w:sz w:val="18"/>
                <w:szCs w:val="18"/>
              </w:rPr>
            </w:pPr>
          </w:p>
        </w:tc>
        <w:tc>
          <w:tcPr>
            <w:tcW w:w="2416" w:type="dxa"/>
          </w:tcPr>
          <w:p w14:paraId="5C719BF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16D5C018"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29493140" w14:textId="77777777" w:rsidTr="00F227C0">
        <w:tc>
          <w:tcPr>
            <w:tcW w:w="440" w:type="dxa"/>
            <w:vMerge/>
          </w:tcPr>
          <w:p w14:paraId="08CE6F91" w14:textId="77777777" w:rsidR="00F227C0" w:rsidRPr="002C1FD9" w:rsidRDefault="00F227C0" w:rsidP="00F227C0">
            <w:pPr>
              <w:rPr>
                <w:rFonts w:asciiTheme="minorHAnsi" w:hAnsiTheme="minorHAnsi"/>
                <w:b/>
                <w:bCs/>
                <w:sz w:val="18"/>
                <w:szCs w:val="18"/>
              </w:rPr>
            </w:pPr>
          </w:p>
        </w:tc>
        <w:tc>
          <w:tcPr>
            <w:tcW w:w="2416" w:type="dxa"/>
          </w:tcPr>
          <w:p w14:paraId="4EA4345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1E0E13E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5186009C" w14:textId="77777777" w:rsidTr="00F227C0">
        <w:tc>
          <w:tcPr>
            <w:tcW w:w="440" w:type="dxa"/>
            <w:vMerge/>
          </w:tcPr>
          <w:p w14:paraId="61CDCEAD" w14:textId="77777777" w:rsidR="00F227C0" w:rsidRPr="002C1FD9" w:rsidRDefault="00F227C0" w:rsidP="00F227C0">
            <w:pPr>
              <w:rPr>
                <w:rFonts w:asciiTheme="minorHAnsi" w:hAnsiTheme="minorHAnsi"/>
                <w:b/>
                <w:bCs/>
                <w:sz w:val="18"/>
                <w:szCs w:val="18"/>
              </w:rPr>
            </w:pPr>
          </w:p>
        </w:tc>
        <w:tc>
          <w:tcPr>
            <w:tcW w:w="2416" w:type="dxa"/>
          </w:tcPr>
          <w:p w14:paraId="0ADF39E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0E9554A3"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$37,850</w:t>
            </w:r>
          </w:p>
        </w:tc>
      </w:tr>
      <w:tr w:rsidR="002C1FD9" w:rsidRPr="002C1FD9" w14:paraId="40C221C5" w14:textId="77777777" w:rsidTr="00F227C0">
        <w:tc>
          <w:tcPr>
            <w:tcW w:w="440" w:type="dxa"/>
            <w:vMerge/>
          </w:tcPr>
          <w:p w14:paraId="6BB9E253" w14:textId="77777777" w:rsidR="00F227C0" w:rsidRPr="002C1FD9" w:rsidRDefault="00F227C0" w:rsidP="00F227C0">
            <w:pPr>
              <w:rPr>
                <w:rFonts w:asciiTheme="minorHAnsi" w:hAnsiTheme="minorHAnsi"/>
                <w:b/>
                <w:bCs/>
                <w:sz w:val="18"/>
                <w:szCs w:val="18"/>
              </w:rPr>
            </w:pPr>
          </w:p>
        </w:tc>
        <w:tc>
          <w:tcPr>
            <w:tcW w:w="2416" w:type="dxa"/>
          </w:tcPr>
          <w:p w14:paraId="02F99ED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2B86407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Rental housing rehabilitation assistance will be limited to housing owned by the Bloomington Housing Authority or a not-for-profit organization. At least 51% of units must be occupied by income-qualified households.</w:t>
            </w:r>
          </w:p>
        </w:tc>
      </w:tr>
      <w:tr w:rsidR="002C1FD9" w:rsidRPr="002C1FD9" w14:paraId="5B5ACE21" w14:textId="77777777" w:rsidTr="00F227C0">
        <w:tc>
          <w:tcPr>
            <w:tcW w:w="440" w:type="dxa"/>
            <w:vMerge/>
          </w:tcPr>
          <w:p w14:paraId="23DE523C" w14:textId="77777777" w:rsidR="00F227C0" w:rsidRPr="002C1FD9" w:rsidRDefault="00F227C0" w:rsidP="00F227C0">
            <w:pPr>
              <w:rPr>
                <w:rFonts w:asciiTheme="minorHAnsi" w:hAnsiTheme="minorHAnsi"/>
                <w:b/>
                <w:bCs/>
                <w:sz w:val="18"/>
                <w:szCs w:val="18"/>
              </w:rPr>
            </w:pPr>
          </w:p>
        </w:tc>
        <w:tc>
          <w:tcPr>
            <w:tcW w:w="2416" w:type="dxa"/>
          </w:tcPr>
          <w:p w14:paraId="0D3C10A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55429D88"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62800EAF" w14:textId="77777777" w:rsidTr="00F227C0">
        <w:tc>
          <w:tcPr>
            <w:tcW w:w="440" w:type="dxa"/>
            <w:vMerge/>
          </w:tcPr>
          <w:p w14:paraId="52E56223" w14:textId="77777777" w:rsidR="00F227C0" w:rsidRPr="002C1FD9" w:rsidRDefault="00F227C0" w:rsidP="00F227C0">
            <w:pPr>
              <w:rPr>
                <w:rFonts w:asciiTheme="minorHAnsi" w:hAnsiTheme="minorHAnsi"/>
                <w:b/>
                <w:bCs/>
                <w:sz w:val="18"/>
                <w:szCs w:val="18"/>
              </w:rPr>
            </w:pPr>
          </w:p>
        </w:tc>
        <w:tc>
          <w:tcPr>
            <w:tcW w:w="2416" w:type="dxa"/>
          </w:tcPr>
          <w:p w14:paraId="4C01D47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0ACBE374"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Sixteen extremely-low and low-income households.  All residents are age 18 or older.</w:t>
            </w:r>
          </w:p>
        </w:tc>
      </w:tr>
      <w:tr w:rsidR="002C1FD9" w:rsidRPr="002C1FD9" w14:paraId="6FA26655" w14:textId="77777777" w:rsidTr="00F227C0">
        <w:tc>
          <w:tcPr>
            <w:tcW w:w="440" w:type="dxa"/>
            <w:vMerge/>
          </w:tcPr>
          <w:p w14:paraId="07547A01" w14:textId="77777777" w:rsidR="00F227C0" w:rsidRPr="002C1FD9" w:rsidRDefault="00F227C0" w:rsidP="00F227C0">
            <w:pPr>
              <w:rPr>
                <w:rFonts w:asciiTheme="minorHAnsi" w:hAnsiTheme="minorHAnsi"/>
                <w:b/>
                <w:bCs/>
                <w:sz w:val="18"/>
                <w:szCs w:val="18"/>
              </w:rPr>
            </w:pPr>
          </w:p>
        </w:tc>
        <w:tc>
          <w:tcPr>
            <w:tcW w:w="2416" w:type="dxa"/>
          </w:tcPr>
          <w:p w14:paraId="1AE08F7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124B80C7"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816 W. Washington St., Bloomington, IL</w:t>
            </w:r>
          </w:p>
        </w:tc>
      </w:tr>
      <w:tr w:rsidR="002C1FD9" w:rsidRPr="002C1FD9" w14:paraId="5E070D08" w14:textId="77777777" w:rsidTr="00F227C0">
        <w:tc>
          <w:tcPr>
            <w:tcW w:w="440" w:type="dxa"/>
            <w:vMerge/>
          </w:tcPr>
          <w:p w14:paraId="5043CB0F" w14:textId="77777777" w:rsidR="00F227C0" w:rsidRPr="002C1FD9" w:rsidRDefault="00F227C0" w:rsidP="00F227C0">
            <w:pPr>
              <w:rPr>
                <w:rFonts w:asciiTheme="minorHAnsi" w:hAnsiTheme="minorHAnsi"/>
                <w:b/>
                <w:bCs/>
                <w:sz w:val="18"/>
                <w:szCs w:val="18"/>
              </w:rPr>
            </w:pPr>
          </w:p>
        </w:tc>
        <w:tc>
          <w:tcPr>
            <w:tcW w:w="2416" w:type="dxa"/>
          </w:tcPr>
          <w:p w14:paraId="0C6040D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4C8CE297" w14:textId="77777777" w:rsidR="00F227C0" w:rsidRPr="002C1FD9" w:rsidRDefault="00F227C0" w:rsidP="00E76D77">
            <w:pPr>
              <w:spacing w:after="0"/>
              <w:rPr>
                <w:rFonts w:asciiTheme="minorHAnsi" w:hAnsiTheme="minorHAnsi"/>
                <w:sz w:val="18"/>
                <w:szCs w:val="18"/>
              </w:rPr>
            </w:pPr>
            <w:r w:rsidRPr="002C1FD9">
              <w:rPr>
                <w:rFonts w:asciiTheme="minorHAnsi" w:hAnsiTheme="minorHAnsi"/>
                <w:sz w:val="18"/>
                <w:szCs w:val="18"/>
              </w:rPr>
              <w:t xml:space="preserve">The Bloomington Housing Authority will receive funding to support replacement of the boiler system at </w:t>
            </w:r>
            <w:proofErr w:type="spellStart"/>
            <w:r w:rsidRPr="002C1FD9">
              <w:rPr>
                <w:rFonts w:asciiTheme="minorHAnsi" w:hAnsiTheme="minorHAnsi"/>
                <w:sz w:val="18"/>
                <w:szCs w:val="18"/>
              </w:rPr>
              <w:t>Nierstheimer</w:t>
            </w:r>
            <w:proofErr w:type="spellEnd"/>
            <w:r w:rsidRPr="002C1FD9">
              <w:rPr>
                <w:rFonts w:asciiTheme="minorHAnsi" w:hAnsiTheme="minorHAnsi"/>
                <w:sz w:val="18"/>
                <w:szCs w:val="18"/>
              </w:rPr>
              <w:t xml:space="preserve"> Apartments. </w:t>
            </w:r>
          </w:p>
        </w:tc>
      </w:tr>
      <w:tr w:rsidR="002C1FD9" w:rsidRPr="002C1FD9" w14:paraId="07459315" w14:textId="77777777" w:rsidTr="00F227C0">
        <w:tc>
          <w:tcPr>
            <w:tcW w:w="440" w:type="dxa"/>
          </w:tcPr>
          <w:p w14:paraId="6537F28F" w14:textId="77777777" w:rsidR="00F227C0" w:rsidRPr="002C1FD9" w:rsidRDefault="00F227C0" w:rsidP="00F227C0">
            <w:pPr>
              <w:rPr>
                <w:rFonts w:asciiTheme="minorHAnsi" w:hAnsiTheme="minorHAnsi"/>
                <w:b/>
                <w:bCs/>
                <w:sz w:val="18"/>
                <w:szCs w:val="18"/>
              </w:rPr>
            </w:pPr>
          </w:p>
        </w:tc>
        <w:tc>
          <w:tcPr>
            <w:tcW w:w="2416" w:type="dxa"/>
          </w:tcPr>
          <w:p w14:paraId="6DFB9E20" w14:textId="77777777" w:rsidR="00F227C0" w:rsidRPr="002C1FD9" w:rsidRDefault="00F227C0" w:rsidP="00F227C0">
            <w:pPr>
              <w:rPr>
                <w:rFonts w:asciiTheme="minorHAnsi" w:hAnsiTheme="minorHAnsi"/>
                <w:b/>
                <w:bCs/>
                <w:sz w:val="18"/>
                <w:szCs w:val="18"/>
              </w:rPr>
            </w:pPr>
          </w:p>
        </w:tc>
        <w:tc>
          <w:tcPr>
            <w:tcW w:w="6494" w:type="dxa"/>
          </w:tcPr>
          <w:p w14:paraId="70DF9E56" w14:textId="77777777" w:rsidR="00F227C0" w:rsidRPr="002C1FD9" w:rsidRDefault="00F227C0" w:rsidP="00F227C0">
            <w:pPr>
              <w:rPr>
                <w:rFonts w:asciiTheme="minorHAnsi" w:hAnsiTheme="minorHAnsi"/>
                <w:b/>
                <w:bCs/>
                <w:sz w:val="18"/>
                <w:szCs w:val="18"/>
              </w:rPr>
            </w:pPr>
          </w:p>
        </w:tc>
      </w:tr>
      <w:tr w:rsidR="002C1FD9" w:rsidRPr="002C1FD9" w14:paraId="7F75A004" w14:textId="77777777" w:rsidTr="00F227C0">
        <w:tc>
          <w:tcPr>
            <w:tcW w:w="440" w:type="dxa"/>
            <w:vMerge w:val="restart"/>
          </w:tcPr>
          <w:p w14:paraId="68D9363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3</w:t>
            </w:r>
          </w:p>
        </w:tc>
        <w:tc>
          <w:tcPr>
            <w:tcW w:w="2416" w:type="dxa"/>
          </w:tcPr>
          <w:p w14:paraId="4A7F267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1ADA87B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Rehabilitation Service Delivery</w:t>
            </w:r>
          </w:p>
        </w:tc>
      </w:tr>
      <w:tr w:rsidR="002C1FD9" w:rsidRPr="002C1FD9" w14:paraId="61714FB5" w14:textId="77777777" w:rsidTr="00F227C0">
        <w:tc>
          <w:tcPr>
            <w:tcW w:w="440" w:type="dxa"/>
            <w:vMerge/>
          </w:tcPr>
          <w:p w14:paraId="44E871BC" w14:textId="77777777" w:rsidR="00F227C0" w:rsidRPr="002C1FD9" w:rsidRDefault="00F227C0" w:rsidP="00F227C0">
            <w:pPr>
              <w:rPr>
                <w:rFonts w:asciiTheme="minorHAnsi" w:hAnsiTheme="minorHAnsi"/>
                <w:b/>
                <w:bCs/>
                <w:sz w:val="18"/>
                <w:szCs w:val="18"/>
              </w:rPr>
            </w:pPr>
          </w:p>
        </w:tc>
        <w:tc>
          <w:tcPr>
            <w:tcW w:w="2416" w:type="dxa"/>
          </w:tcPr>
          <w:p w14:paraId="7B6312B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6295FA3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 LMA Preservation Area</w:t>
            </w:r>
          </w:p>
        </w:tc>
      </w:tr>
      <w:tr w:rsidR="002C1FD9" w:rsidRPr="002C1FD9" w14:paraId="02C4FACE" w14:textId="77777777" w:rsidTr="00F227C0">
        <w:tc>
          <w:tcPr>
            <w:tcW w:w="440" w:type="dxa"/>
            <w:vMerge/>
          </w:tcPr>
          <w:p w14:paraId="144A5D23" w14:textId="77777777" w:rsidR="00F227C0" w:rsidRPr="002C1FD9" w:rsidRDefault="00F227C0" w:rsidP="00F227C0">
            <w:pPr>
              <w:rPr>
                <w:rFonts w:asciiTheme="minorHAnsi" w:hAnsiTheme="minorHAnsi"/>
                <w:b/>
                <w:bCs/>
                <w:sz w:val="18"/>
                <w:szCs w:val="18"/>
              </w:rPr>
            </w:pPr>
          </w:p>
        </w:tc>
        <w:tc>
          <w:tcPr>
            <w:tcW w:w="2416" w:type="dxa"/>
          </w:tcPr>
          <w:p w14:paraId="2F39D2D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275D56A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4F3F7272" w14:textId="77777777" w:rsidTr="00F227C0">
        <w:tc>
          <w:tcPr>
            <w:tcW w:w="440" w:type="dxa"/>
            <w:vMerge/>
          </w:tcPr>
          <w:p w14:paraId="738610EB" w14:textId="77777777" w:rsidR="00F227C0" w:rsidRPr="002C1FD9" w:rsidRDefault="00F227C0" w:rsidP="00F227C0">
            <w:pPr>
              <w:rPr>
                <w:rFonts w:asciiTheme="minorHAnsi" w:hAnsiTheme="minorHAnsi"/>
                <w:b/>
                <w:bCs/>
                <w:sz w:val="18"/>
                <w:szCs w:val="18"/>
              </w:rPr>
            </w:pPr>
          </w:p>
        </w:tc>
        <w:tc>
          <w:tcPr>
            <w:tcW w:w="2416" w:type="dxa"/>
          </w:tcPr>
          <w:p w14:paraId="1F98973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1013CCFD"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23F2D9EF" w14:textId="77777777" w:rsidTr="00F227C0">
        <w:tc>
          <w:tcPr>
            <w:tcW w:w="440" w:type="dxa"/>
            <w:vMerge/>
          </w:tcPr>
          <w:p w14:paraId="637805D2" w14:textId="77777777" w:rsidR="00F227C0" w:rsidRPr="002C1FD9" w:rsidRDefault="00F227C0" w:rsidP="00F227C0">
            <w:pPr>
              <w:rPr>
                <w:rFonts w:asciiTheme="minorHAnsi" w:hAnsiTheme="minorHAnsi"/>
                <w:b/>
                <w:bCs/>
                <w:sz w:val="18"/>
                <w:szCs w:val="18"/>
              </w:rPr>
            </w:pPr>
          </w:p>
        </w:tc>
        <w:tc>
          <w:tcPr>
            <w:tcW w:w="2416" w:type="dxa"/>
          </w:tcPr>
          <w:p w14:paraId="1527079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391A8CE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$20,000</w:t>
            </w:r>
          </w:p>
        </w:tc>
      </w:tr>
      <w:tr w:rsidR="002C1FD9" w:rsidRPr="002C1FD9" w14:paraId="70924408" w14:textId="77777777" w:rsidTr="00F227C0">
        <w:tc>
          <w:tcPr>
            <w:tcW w:w="440" w:type="dxa"/>
            <w:vMerge/>
          </w:tcPr>
          <w:p w14:paraId="463F29E8" w14:textId="77777777" w:rsidR="00F227C0" w:rsidRPr="002C1FD9" w:rsidRDefault="00F227C0" w:rsidP="00F227C0">
            <w:pPr>
              <w:rPr>
                <w:rFonts w:asciiTheme="minorHAnsi" w:hAnsiTheme="minorHAnsi"/>
                <w:b/>
                <w:bCs/>
                <w:sz w:val="18"/>
                <w:szCs w:val="18"/>
              </w:rPr>
            </w:pPr>
          </w:p>
        </w:tc>
        <w:tc>
          <w:tcPr>
            <w:tcW w:w="2416" w:type="dxa"/>
          </w:tcPr>
          <w:p w14:paraId="513D93E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0F1A4A6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 xml:space="preserve">This project will cover expenses related to the delivery of all rehabilitation programs performed under this Annual Action Plan. Expenses may include but not be limited </w:t>
            </w:r>
            <w:r w:rsidR="00067151" w:rsidRPr="002C1FD9">
              <w:rPr>
                <w:rFonts w:asciiTheme="minorHAnsi" w:hAnsiTheme="minorHAnsi"/>
                <w:sz w:val="18"/>
                <w:szCs w:val="18"/>
              </w:rPr>
              <w:t>to</w:t>
            </w:r>
            <w:r w:rsidRPr="002C1FD9">
              <w:rPr>
                <w:rFonts w:asciiTheme="minorHAnsi" w:hAnsiTheme="minorHAnsi"/>
                <w:sz w:val="18"/>
                <w:szCs w:val="18"/>
              </w:rPr>
              <w:t xml:space="preserve"> staff expenses, postage, office supplies, advertising, printing and environmental testing and clearance.</w:t>
            </w:r>
          </w:p>
        </w:tc>
      </w:tr>
      <w:tr w:rsidR="002C1FD9" w:rsidRPr="002C1FD9" w14:paraId="7E7987A0" w14:textId="77777777" w:rsidTr="00F227C0">
        <w:tc>
          <w:tcPr>
            <w:tcW w:w="440" w:type="dxa"/>
            <w:vMerge/>
          </w:tcPr>
          <w:p w14:paraId="3B7B4B86" w14:textId="77777777" w:rsidR="00F227C0" w:rsidRPr="002C1FD9" w:rsidRDefault="00F227C0" w:rsidP="00F227C0">
            <w:pPr>
              <w:rPr>
                <w:rFonts w:asciiTheme="minorHAnsi" w:hAnsiTheme="minorHAnsi"/>
                <w:b/>
                <w:bCs/>
                <w:sz w:val="18"/>
                <w:szCs w:val="18"/>
              </w:rPr>
            </w:pPr>
          </w:p>
        </w:tc>
        <w:tc>
          <w:tcPr>
            <w:tcW w:w="2416" w:type="dxa"/>
          </w:tcPr>
          <w:p w14:paraId="5477442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F88AACF"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6B96F264" w14:textId="77777777" w:rsidTr="00F227C0">
        <w:tc>
          <w:tcPr>
            <w:tcW w:w="440" w:type="dxa"/>
            <w:vMerge/>
          </w:tcPr>
          <w:p w14:paraId="3A0FF5F2" w14:textId="77777777" w:rsidR="00F227C0" w:rsidRPr="002C1FD9" w:rsidRDefault="00F227C0" w:rsidP="00F227C0">
            <w:pPr>
              <w:rPr>
                <w:rFonts w:asciiTheme="minorHAnsi" w:hAnsiTheme="minorHAnsi"/>
                <w:b/>
                <w:bCs/>
                <w:sz w:val="18"/>
                <w:szCs w:val="18"/>
              </w:rPr>
            </w:pPr>
          </w:p>
        </w:tc>
        <w:tc>
          <w:tcPr>
            <w:tcW w:w="2416" w:type="dxa"/>
          </w:tcPr>
          <w:p w14:paraId="1218616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600BE03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Activities will benefit beneficiaries of all housing rehabilitation projects, estimated at 25 owner-occupied housing units and 16 rental units.  All households will meet income guidelines.</w:t>
            </w:r>
          </w:p>
        </w:tc>
      </w:tr>
      <w:tr w:rsidR="002C1FD9" w:rsidRPr="002C1FD9" w14:paraId="786BA3BF" w14:textId="77777777" w:rsidTr="00F227C0">
        <w:tc>
          <w:tcPr>
            <w:tcW w:w="440" w:type="dxa"/>
            <w:vMerge/>
          </w:tcPr>
          <w:p w14:paraId="5630AD66" w14:textId="77777777" w:rsidR="00F227C0" w:rsidRPr="002C1FD9" w:rsidRDefault="00F227C0" w:rsidP="00F227C0">
            <w:pPr>
              <w:rPr>
                <w:rFonts w:asciiTheme="minorHAnsi" w:hAnsiTheme="minorHAnsi"/>
                <w:b/>
                <w:bCs/>
                <w:sz w:val="18"/>
                <w:szCs w:val="18"/>
              </w:rPr>
            </w:pPr>
          </w:p>
        </w:tc>
        <w:tc>
          <w:tcPr>
            <w:tcW w:w="2416" w:type="dxa"/>
          </w:tcPr>
          <w:p w14:paraId="580609E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146E812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NA</w:t>
            </w:r>
          </w:p>
        </w:tc>
      </w:tr>
      <w:tr w:rsidR="002C1FD9" w:rsidRPr="002C1FD9" w14:paraId="7CC26CC5" w14:textId="77777777" w:rsidTr="00F227C0">
        <w:tc>
          <w:tcPr>
            <w:tcW w:w="440" w:type="dxa"/>
            <w:vMerge/>
          </w:tcPr>
          <w:p w14:paraId="61829076" w14:textId="77777777" w:rsidR="00F227C0" w:rsidRPr="002C1FD9" w:rsidRDefault="00F227C0" w:rsidP="00F227C0">
            <w:pPr>
              <w:rPr>
                <w:rFonts w:asciiTheme="minorHAnsi" w:hAnsiTheme="minorHAnsi"/>
                <w:b/>
                <w:bCs/>
                <w:sz w:val="18"/>
                <w:szCs w:val="18"/>
              </w:rPr>
            </w:pPr>
          </w:p>
        </w:tc>
        <w:tc>
          <w:tcPr>
            <w:tcW w:w="2416" w:type="dxa"/>
          </w:tcPr>
          <w:p w14:paraId="76349D7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180460CD"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No activities outside of Rehabilitation Service Delivery will occur under this project.</w:t>
            </w:r>
          </w:p>
        </w:tc>
      </w:tr>
      <w:tr w:rsidR="002C1FD9" w:rsidRPr="002C1FD9" w14:paraId="2BA226A1" w14:textId="77777777" w:rsidTr="00F227C0">
        <w:tc>
          <w:tcPr>
            <w:tcW w:w="440" w:type="dxa"/>
          </w:tcPr>
          <w:p w14:paraId="17AD93B2" w14:textId="77777777" w:rsidR="00F227C0" w:rsidRPr="002C1FD9" w:rsidRDefault="00F227C0" w:rsidP="00F227C0">
            <w:pPr>
              <w:rPr>
                <w:rFonts w:asciiTheme="minorHAnsi" w:hAnsiTheme="minorHAnsi"/>
                <w:b/>
                <w:bCs/>
                <w:sz w:val="18"/>
                <w:szCs w:val="18"/>
              </w:rPr>
            </w:pPr>
          </w:p>
        </w:tc>
        <w:tc>
          <w:tcPr>
            <w:tcW w:w="2416" w:type="dxa"/>
          </w:tcPr>
          <w:p w14:paraId="0DE4B5B7" w14:textId="77777777" w:rsidR="00F227C0" w:rsidRPr="002C1FD9" w:rsidRDefault="00F227C0" w:rsidP="00F227C0">
            <w:pPr>
              <w:rPr>
                <w:rFonts w:asciiTheme="minorHAnsi" w:hAnsiTheme="minorHAnsi"/>
                <w:b/>
                <w:bCs/>
                <w:sz w:val="18"/>
                <w:szCs w:val="18"/>
              </w:rPr>
            </w:pPr>
          </w:p>
        </w:tc>
        <w:tc>
          <w:tcPr>
            <w:tcW w:w="6494" w:type="dxa"/>
          </w:tcPr>
          <w:p w14:paraId="66204FF1" w14:textId="77777777" w:rsidR="00F227C0" w:rsidRPr="002C1FD9" w:rsidRDefault="00F227C0" w:rsidP="00F227C0">
            <w:pPr>
              <w:rPr>
                <w:rFonts w:asciiTheme="minorHAnsi" w:hAnsiTheme="minorHAnsi"/>
                <w:b/>
                <w:bCs/>
                <w:sz w:val="18"/>
                <w:szCs w:val="18"/>
              </w:rPr>
            </w:pPr>
          </w:p>
        </w:tc>
      </w:tr>
      <w:tr w:rsidR="002C1FD9" w:rsidRPr="002C1FD9" w14:paraId="2FD028B8" w14:textId="77777777" w:rsidTr="00F227C0">
        <w:tc>
          <w:tcPr>
            <w:tcW w:w="440" w:type="dxa"/>
            <w:vMerge w:val="restart"/>
          </w:tcPr>
          <w:p w14:paraId="17310F6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4</w:t>
            </w:r>
          </w:p>
        </w:tc>
        <w:tc>
          <w:tcPr>
            <w:tcW w:w="2416" w:type="dxa"/>
          </w:tcPr>
          <w:p w14:paraId="6F1FB6F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42098A8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Residential Demolition</w:t>
            </w:r>
          </w:p>
        </w:tc>
      </w:tr>
      <w:tr w:rsidR="002C1FD9" w:rsidRPr="002C1FD9" w14:paraId="1BFF913B" w14:textId="77777777" w:rsidTr="00F227C0">
        <w:tc>
          <w:tcPr>
            <w:tcW w:w="440" w:type="dxa"/>
            <w:vMerge/>
          </w:tcPr>
          <w:p w14:paraId="2DBF0D7D" w14:textId="77777777" w:rsidR="00F227C0" w:rsidRPr="002C1FD9" w:rsidRDefault="00F227C0" w:rsidP="00F227C0">
            <w:pPr>
              <w:rPr>
                <w:rFonts w:asciiTheme="minorHAnsi" w:hAnsiTheme="minorHAnsi"/>
                <w:b/>
                <w:bCs/>
                <w:sz w:val="18"/>
                <w:szCs w:val="18"/>
              </w:rPr>
            </w:pPr>
          </w:p>
        </w:tc>
        <w:tc>
          <w:tcPr>
            <w:tcW w:w="2416" w:type="dxa"/>
          </w:tcPr>
          <w:p w14:paraId="7310A747"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52BC792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 LMA Preservation Area</w:t>
            </w:r>
          </w:p>
        </w:tc>
      </w:tr>
      <w:tr w:rsidR="002C1FD9" w:rsidRPr="002C1FD9" w14:paraId="58F3A156" w14:textId="77777777" w:rsidTr="00F227C0">
        <w:tc>
          <w:tcPr>
            <w:tcW w:w="440" w:type="dxa"/>
            <w:vMerge/>
          </w:tcPr>
          <w:p w14:paraId="6B62F1B3" w14:textId="77777777" w:rsidR="00F227C0" w:rsidRPr="002C1FD9" w:rsidRDefault="00F227C0" w:rsidP="00F227C0">
            <w:pPr>
              <w:rPr>
                <w:rFonts w:asciiTheme="minorHAnsi" w:hAnsiTheme="minorHAnsi"/>
                <w:b/>
                <w:bCs/>
                <w:sz w:val="18"/>
                <w:szCs w:val="18"/>
              </w:rPr>
            </w:pPr>
          </w:p>
        </w:tc>
        <w:tc>
          <w:tcPr>
            <w:tcW w:w="2416" w:type="dxa"/>
          </w:tcPr>
          <w:p w14:paraId="1B48D04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59CF14C7"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Preservation of existing affordable housing stock; Elimination of slum and blight conditions.</w:t>
            </w:r>
          </w:p>
        </w:tc>
      </w:tr>
      <w:tr w:rsidR="002C1FD9" w:rsidRPr="002C1FD9" w14:paraId="33F54ED4" w14:textId="77777777" w:rsidTr="00F227C0">
        <w:tc>
          <w:tcPr>
            <w:tcW w:w="440" w:type="dxa"/>
            <w:vMerge/>
          </w:tcPr>
          <w:p w14:paraId="02F2C34E" w14:textId="77777777" w:rsidR="00F227C0" w:rsidRPr="002C1FD9" w:rsidRDefault="00F227C0" w:rsidP="00F227C0">
            <w:pPr>
              <w:rPr>
                <w:rFonts w:asciiTheme="minorHAnsi" w:hAnsiTheme="minorHAnsi"/>
                <w:b/>
                <w:bCs/>
                <w:sz w:val="18"/>
                <w:szCs w:val="18"/>
              </w:rPr>
            </w:pPr>
          </w:p>
        </w:tc>
        <w:tc>
          <w:tcPr>
            <w:tcW w:w="2416" w:type="dxa"/>
          </w:tcPr>
          <w:p w14:paraId="5AAC3BA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2CEF9CE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23554A9F" w14:textId="77777777" w:rsidTr="00F227C0">
        <w:tc>
          <w:tcPr>
            <w:tcW w:w="440" w:type="dxa"/>
            <w:vMerge/>
          </w:tcPr>
          <w:p w14:paraId="680A4E5D" w14:textId="77777777" w:rsidR="00F227C0" w:rsidRPr="002C1FD9" w:rsidRDefault="00F227C0" w:rsidP="00F227C0">
            <w:pPr>
              <w:rPr>
                <w:rFonts w:asciiTheme="minorHAnsi" w:hAnsiTheme="minorHAnsi"/>
                <w:b/>
                <w:bCs/>
                <w:sz w:val="18"/>
                <w:szCs w:val="18"/>
              </w:rPr>
            </w:pPr>
          </w:p>
        </w:tc>
        <w:tc>
          <w:tcPr>
            <w:tcW w:w="2416" w:type="dxa"/>
          </w:tcPr>
          <w:p w14:paraId="0AB7058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06CA09C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$135,000</w:t>
            </w:r>
          </w:p>
        </w:tc>
      </w:tr>
      <w:tr w:rsidR="002C1FD9" w:rsidRPr="002C1FD9" w14:paraId="3DA3FB62" w14:textId="77777777" w:rsidTr="00F227C0">
        <w:tc>
          <w:tcPr>
            <w:tcW w:w="440" w:type="dxa"/>
            <w:vMerge/>
          </w:tcPr>
          <w:p w14:paraId="19219836" w14:textId="77777777" w:rsidR="00F227C0" w:rsidRPr="002C1FD9" w:rsidRDefault="00F227C0" w:rsidP="00F227C0">
            <w:pPr>
              <w:rPr>
                <w:rFonts w:asciiTheme="minorHAnsi" w:hAnsiTheme="minorHAnsi"/>
                <w:b/>
                <w:bCs/>
                <w:sz w:val="18"/>
                <w:szCs w:val="18"/>
              </w:rPr>
            </w:pPr>
          </w:p>
        </w:tc>
        <w:tc>
          <w:tcPr>
            <w:tcW w:w="2416" w:type="dxa"/>
          </w:tcPr>
          <w:p w14:paraId="3684F33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1DD61BEB" w14:textId="77777777" w:rsidR="00DC42B2" w:rsidRPr="002C1FD9" w:rsidRDefault="00F227C0" w:rsidP="00F227C0">
            <w:pPr>
              <w:rPr>
                <w:rFonts w:asciiTheme="minorHAnsi" w:hAnsiTheme="minorHAnsi"/>
                <w:sz w:val="18"/>
                <w:szCs w:val="18"/>
              </w:rPr>
            </w:pPr>
            <w:r w:rsidRPr="002C1FD9">
              <w:rPr>
                <w:rFonts w:asciiTheme="minorHAnsi" w:hAnsiTheme="minorHAnsi"/>
                <w:sz w:val="18"/>
                <w:szCs w:val="18"/>
              </w:rPr>
              <w:t>The City will address the elimination of slum and blight conditions throughout this Annual Action Plan. Demolition and clearance activities will be limited to residential properties. Rehabilitation will always be considered prior to demolition. When a property does not meet rehabilitation criteria, the City will make every attempt to replace the blighted unit(s) with new affordable housing through property donation to Habitat for Humanity or other partners. Properties that do not meet Habitat's criteria may be offered to adjacent property owners, donated to local not-for-profits for green space, or</w:t>
            </w:r>
            <w:r w:rsidR="00DC42B2" w:rsidRPr="002C1FD9">
              <w:rPr>
                <w:rFonts w:asciiTheme="minorHAnsi" w:hAnsiTheme="minorHAnsi"/>
                <w:sz w:val="18"/>
                <w:szCs w:val="18"/>
              </w:rPr>
              <w:t xml:space="preserve"> offered for sale to the public</w:t>
            </w:r>
          </w:p>
          <w:p w14:paraId="14B73BFA" w14:textId="77777777" w:rsidR="00DC42B2" w:rsidRPr="002C1FD9" w:rsidRDefault="00DC42B2" w:rsidP="00DC42B2">
            <w:pPr>
              <w:rPr>
                <w:rFonts w:asciiTheme="minorHAnsi" w:hAnsiTheme="minorHAnsi"/>
                <w:sz w:val="18"/>
                <w:szCs w:val="18"/>
              </w:rPr>
            </w:pPr>
            <w:r w:rsidRPr="002C1FD9">
              <w:rPr>
                <w:rFonts w:asciiTheme="minorHAnsi" w:hAnsiTheme="minorHAnsi"/>
                <w:sz w:val="18"/>
                <w:szCs w:val="18"/>
              </w:rPr>
              <w:t>The City intends to acquire properties from McLean County for demolition and clearance to support affordable housing development.</w:t>
            </w:r>
          </w:p>
        </w:tc>
      </w:tr>
      <w:tr w:rsidR="002C1FD9" w:rsidRPr="002C1FD9" w14:paraId="4686056A" w14:textId="77777777" w:rsidTr="00F227C0">
        <w:tc>
          <w:tcPr>
            <w:tcW w:w="440" w:type="dxa"/>
            <w:vMerge/>
          </w:tcPr>
          <w:p w14:paraId="296FEF7D" w14:textId="77777777" w:rsidR="00F227C0" w:rsidRPr="002C1FD9" w:rsidRDefault="00F227C0" w:rsidP="00F227C0">
            <w:pPr>
              <w:rPr>
                <w:rFonts w:asciiTheme="minorHAnsi" w:hAnsiTheme="minorHAnsi"/>
                <w:b/>
                <w:bCs/>
                <w:sz w:val="18"/>
                <w:szCs w:val="18"/>
              </w:rPr>
            </w:pPr>
          </w:p>
        </w:tc>
        <w:tc>
          <w:tcPr>
            <w:tcW w:w="2416" w:type="dxa"/>
          </w:tcPr>
          <w:p w14:paraId="0A805E4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05B0234D"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603DD860" w14:textId="77777777" w:rsidTr="00F227C0">
        <w:tc>
          <w:tcPr>
            <w:tcW w:w="440" w:type="dxa"/>
            <w:vMerge/>
          </w:tcPr>
          <w:p w14:paraId="7194DBDC" w14:textId="77777777" w:rsidR="00F227C0" w:rsidRPr="002C1FD9" w:rsidRDefault="00F227C0" w:rsidP="00F227C0">
            <w:pPr>
              <w:rPr>
                <w:rFonts w:asciiTheme="minorHAnsi" w:hAnsiTheme="minorHAnsi"/>
                <w:b/>
                <w:bCs/>
                <w:sz w:val="18"/>
                <w:szCs w:val="18"/>
              </w:rPr>
            </w:pPr>
          </w:p>
        </w:tc>
        <w:tc>
          <w:tcPr>
            <w:tcW w:w="2416" w:type="dxa"/>
          </w:tcPr>
          <w:p w14:paraId="5E2D3487"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0F75DE28"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In an average year, the City will donate 3-4 properties to Habitat for new construction. Habitat serves households at or below 50% AMI.</w:t>
            </w:r>
          </w:p>
        </w:tc>
      </w:tr>
      <w:tr w:rsidR="002C1FD9" w:rsidRPr="002C1FD9" w14:paraId="23BE8DA4" w14:textId="77777777" w:rsidTr="00F227C0">
        <w:tc>
          <w:tcPr>
            <w:tcW w:w="440" w:type="dxa"/>
            <w:vMerge/>
          </w:tcPr>
          <w:p w14:paraId="769D0D3C" w14:textId="77777777" w:rsidR="00F227C0" w:rsidRPr="002C1FD9" w:rsidRDefault="00F227C0" w:rsidP="00F227C0">
            <w:pPr>
              <w:rPr>
                <w:rFonts w:asciiTheme="minorHAnsi" w:hAnsiTheme="minorHAnsi"/>
                <w:b/>
                <w:bCs/>
                <w:sz w:val="18"/>
                <w:szCs w:val="18"/>
              </w:rPr>
            </w:pPr>
          </w:p>
        </w:tc>
        <w:tc>
          <w:tcPr>
            <w:tcW w:w="2416" w:type="dxa"/>
          </w:tcPr>
          <w:p w14:paraId="50C7524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1CB43E6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The lot selection has not yet occurred for the 2020 build season.</w:t>
            </w:r>
          </w:p>
        </w:tc>
      </w:tr>
      <w:tr w:rsidR="002C1FD9" w:rsidRPr="002C1FD9" w14:paraId="721096B6" w14:textId="77777777" w:rsidTr="00F227C0">
        <w:tc>
          <w:tcPr>
            <w:tcW w:w="440" w:type="dxa"/>
            <w:vMerge/>
          </w:tcPr>
          <w:p w14:paraId="54CD245A" w14:textId="77777777" w:rsidR="00F227C0" w:rsidRPr="002C1FD9" w:rsidRDefault="00F227C0" w:rsidP="00F227C0">
            <w:pPr>
              <w:rPr>
                <w:rFonts w:asciiTheme="minorHAnsi" w:hAnsiTheme="minorHAnsi"/>
                <w:b/>
                <w:bCs/>
                <w:sz w:val="18"/>
                <w:szCs w:val="18"/>
              </w:rPr>
            </w:pPr>
          </w:p>
        </w:tc>
        <w:tc>
          <w:tcPr>
            <w:tcW w:w="2416" w:type="dxa"/>
          </w:tcPr>
          <w:p w14:paraId="44484EB7"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74CCF777" w14:textId="77777777" w:rsidR="00F227C0" w:rsidRPr="002C1FD9" w:rsidRDefault="00F227C0" w:rsidP="007B2486">
            <w:pPr>
              <w:rPr>
                <w:rFonts w:asciiTheme="minorHAnsi" w:hAnsiTheme="minorHAnsi"/>
                <w:sz w:val="18"/>
                <w:szCs w:val="18"/>
              </w:rPr>
            </w:pPr>
            <w:r w:rsidRPr="002C1FD9">
              <w:rPr>
                <w:rFonts w:asciiTheme="minorHAnsi" w:hAnsiTheme="minorHAnsi"/>
                <w:sz w:val="18"/>
                <w:szCs w:val="18"/>
              </w:rPr>
              <w:t xml:space="preserve">The City plans to complete 3 demolition and clearance activities for donation to Habitat.  In turn, Habitat will build on 3-4 properties previously donated.  There is typically a </w:t>
            </w:r>
            <w:r w:rsidR="007B2486" w:rsidRPr="002C1FD9">
              <w:rPr>
                <w:rFonts w:asciiTheme="minorHAnsi" w:hAnsiTheme="minorHAnsi"/>
                <w:sz w:val="18"/>
                <w:szCs w:val="18"/>
              </w:rPr>
              <w:t>one- to two-</w:t>
            </w:r>
            <w:r w:rsidRPr="002C1FD9">
              <w:rPr>
                <w:rFonts w:asciiTheme="minorHAnsi" w:hAnsiTheme="minorHAnsi"/>
                <w:sz w:val="18"/>
                <w:szCs w:val="18"/>
              </w:rPr>
              <w:t xml:space="preserve"> year delay between demolition and construction.  Two demolitions will be completed for the purpose of slum and blight elimination only. Service delivery costs, such as </w:t>
            </w:r>
            <w:r w:rsidR="00067151" w:rsidRPr="002C1FD9">
              <w:rPr>
                <w:rFonts w:asciiTheme="minorHAnsi" w:hAnsiTheme="minorHAnsi"/>
                <w:sz w:val="18"/>
                <w:szCs w:val="18"/>
              </w:rPr>
              <w:t>environmental</w:t>
            </w:r>
            <w:r w:rsidRPr="002C1FD9">
              <w:rPr>
                <w:rFonts w:asciiTheme="minorHAnsi" w:hAnsiTheme="minorHAnsi"/>
                <w:sz w:val="18"/>
                <w:szCs w:val="18"/>
              </w:rPr>
              <w:t xml:space="preserve"> testing, will be included under this project as well.</w:t>
            </w:r>
          </w:p>
        </w:tc>
      </w:tr>
      <w:tr w:rsidR="002C1FD9" w:rsidRPr="002C1FD9" w14:paraId="729DE7E4" w14:textId="77777777" w:rsidTr="00F227C0">
        <w:tc>
          <w:tcPr>
            <w:tcW w:w="440" w:type="dxa"/>
            <w:vMerge w:val="restart"/>
          </w:tcPr>
          <w:p w14:paraId="1D0ADF7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5</w:t>
            </w:r>
          </w:p>
        </w:tc>
        <w:tc>
          <w:tcPr>
            <w:tcW w:w="2416" w:type="dxa"/>
          </w:tcPr>
          <w:p w14:paraId="1231BE67" w14:textId="77777777" w:rsidR="00F227C0" w:rsidRPr="002C1FD9" w:rsidRDefault="00F227C0" w:rsidP="00F227C0">
            <w:pPr>
              <w:rPr>
                <w:rFonts w:asciiTheme="minorHAnsi" w:hAnsiTheme="minorHAnsi"/>
                <w:b/>
                <w:bCs/>
                <w:sz w:val="18"/>
                <w:szCs w:val="18"/>
              </w:rPr>
            </w:pPr>
          </w:p>
        </w:tc>
        <w:tc>
          <w:tcPr>
            <w:tcW w:w="6494" w:type="dxa"/>
          </w:tcPr>
          <w:p w14:paraId="36FEB5B0" w14:textId="77777777" w:rsidR="00F227C0" w:rsidRPr="002C1FD9" w:rsidRDefault="00F227C0" w:rsidP="00F227C0">
            <w:pPr>
              <w:rPr>
                <w:rFonts w:asciiTheme="minorHAnsi" w:hAnsiTheme="minorHAnsi"/>
                <w:b/>
                <w:bCs/>
                <w:sz w:val="18"/>
                <w:szCs w:val="18"/>
              </w:rPr>
            </w:pPr>
          </w:p>
        </w:tc>
      </w:tr>
      <w:tr w:rsidR="002C1FD9" w:rsidRPr="002C1FD9" w14:paraId="211EB50E" w14:textId="77777777" w:rsidTr="00F227C0">
        <w:tc>
          <w:tcPr>
            <w:tcW w:w="440" w:type="dxa"/>
            <w:vMerge/>
          </w:tcPr>
          <w:p w14:paraId="30D7AA69" w14:textId="77777777" w:rsidR="00F227C0" w:rsidRPr="002C1FD9" w:rsidRDefault="00F227C0" w:rsidP="00F227C0">
            <w:pPr>
              <w:rPr>
                <w:rFonts w:asciiTheme="minorHAnsi" w:hAnsiTheme="minorHAnsi"/>
                <w:b/>
                <w:bCs/>
                <w:sz w:val="18"/>
                <w:szCs w:val="18"/>
              </w:rPr>
            </w:pPr>
          </w:p>
        </w:tc>
        <w:tc>
          <w:tcPr>
            <w:tcW w:w="2416" w:type="dxa"/>
          </w:tcPr>
          <w:p w14:paraId="1E291E57"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2274A64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Public Services</w:t>
            </w:r>
          </w:p>
        </w:tc>
      </w:tr>
      <w:tr w:rsidR="002C1FD9" w:rsidRPr="002C1FD9" w14:paraId="5D361588" w14:textId="77777777" w:rsidTr="00F227C0">
        <w:tc>
          <w:tcPr>
            <w:tcW w:w="440" w:type="dxa"/>
            <w:vMerge/>
          </w:tcPr>
          <w:p w14:paraId="7196D064" w14:textId="77777777" w:rsidR="00F227C0" w:rsidRPr="002C1FD9" w:rsidRDefault="00F227C0" w:rsidP="00F227C0">
            <w:pPr>
              <w:rPr>
                <w:rFonts w:asciiTheme="minorHAnsi" w:hAnsiTheme="minorHAnsi"/>
                <w:b/>
                <w:bCs/>
                <w:sz w:val="18"/>
                <w:szCs w:val="18"/>
              </w:rPr>
            </w:pPr>
          </w:p>
        </w:tc>
        <w:tc>
          <w:tcPr>
            <w:tcW w:w="2416" w:type="dxa"/>
          </w:tcPr>
          <w:p w14:paraId="78451CF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1743F1A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w:t>
            </w:r>
          </w:p>
        </w:tc>
      </w:tr>
      <w:tr w:rsidR="002C1FD9" w:rsidRPr="002C1FD9" w14:paraId="6F675C9F" w14:textId="77777777" w:rsidTr="00F227C0">
        <w:tc>
          <w:tcPr>
            <w:tcW w:w="440" w:type="dxa"/>
            <w:vMerge/>
          </w:tcPr>
          <w:p w14:paraId="34FF1C98" w14:textId="77777777" w:rsidR="00F227C0" w:rsidRPr="002C1FD9" w:rsidRDefault="00F227C0" w:rsidP="00F227C0">
            <w:pPr>
              <w:rPr>
                <w:rFonts w:asciiTheme="minorHAnsi" w:hAnsiTheme="minorHAnsi"/>
                <w:b/>
                <w:bCs/>
                <w:sz w:val="18"/>
                <w:szCs w:val="18"/>
              </w:rPr>
            </w:pPr>
          </w:p>
        </w:tc>
        <w:tc>
          <w:tcPr>
            <w:tcW w:w="2416" w:type="dxa"/>
          </w:tcPr>
          <w:p w14:paraId="71F6EB8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5CC1411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Support the provision of public service activities.</w:t>
            </w:r>
          </w:p>
        </w:tc>
      </w:tr>
      <w:tr w:rsidR="002C1FD9" w:rsidRPr="002C1FD9" w14:paraId="4FF9BDA3" w14:textId="77777777" w:rsidTr="00F227C0">
        <w:tc>
          <w:tcPr>
            <w:tcW w:w="440" w:type="dxa"/>
            <w:vMerge/>
          </w:tcPr>
          <w:p w14:paraId="6D072C0D" w14:textId="77777777" w:rsidR="00F227C0" w:rsidRPr="002C1FD9" w:rsidRDefault="00F227C0" w:rsidP="00F227C0">
            <w:pPr>
              <w:rPr>
                <w:rFonts w:asciiTheme="minorHAnsi" w:hAnsiTheme="minorHAnsi"/>
                <w:b/>
                <w:bCs/>
                <w:sz w:val="18"/>
                <w:szCs w:val="18"/>
              </w:rPr>
            </w:pPr>
          </w:p>
        </w:tc>
        <w:tc>
          <w:tcPr>
            <w:tcW w:w="2416" w:type="dxa"/>
          </w:tcPr>
          <w:p w14:paraId="042E7DF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2FC2F91F"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Job Training and Workforce Development; Homeless Services; Renter Assistance; Senior Services</w:t>
            </w:r>
          </w:p>
        </w:tc>
      </w:tr>
      <w:tr w:rsidR="002C1FD9" w:rsidRPr="002C1FD9" w14:paraId="087BFF07" w14:textId="77777777" w:rsidTr="00F227C0">
        <w:tc>
          <w:tcPr>
            <w:tcW w:w="440" w:type="dxa"/>
            <w:vMerge/>
          </w:tcPr>
          <w:p w14:paraId="48A21919" w14:textId="77777777" w:rsidR="00F227C0" w:rsidRPr="002C1FD9" w:rsidRDefault="00F227C0" w:rsidP="00F227C0">
            <w:pPr>
              <w:rPr>
                <w:rFonts w:asciiTheme="minorHAnsi" w:hAnsiTheme="minorHAnsi"/>
                <w:b/>
                <w:bCs/>
                <w:sz w:val="18"/>
                <w:szCs w:val="18"/>
              </w:rPr>
            </w:pPr>
          </w:p>
        </w:tc>
        <w:tc>
          <w:tcPr>
            <w:tcW w:w="2416" w:type="dxa"/>
          </w:tcPr>
          <w:p w14:paraId="06D9519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086B84A7"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$84,744</w:t>
            </w:r>
          </w:p>
        </w:tc>
      </w:tr>
      <w:tr w:rsidR="002C1FD9" w:rsidRPr="002C1FD9" w14:paraId="3CF2AE64" w14:textId="77777777" w:rsidTr="00F227C0">
        <w:tc>
          <w:tcPr>
            <w:tcW w:w="440" w:type="dxa"/>
            <w:vMerge/>
          </w:tcPr>
          <w:p w14:paraId="6BD18F9B" w14:textId="77777777" w:rsidR="00F227C0" w:rsidRPr="002C1FD9" w:rsidRDefault="00F227C0" w:rsidP="00F227C0">
            <w:pPr>
              <w:rPr>
                <w:rFonts w:asciiTheme="minorHAnsi" w:hAnsiTheme="minorHAnsi"/>
                <w:b/>
                <w:bCs/>
                <w:sz w:val="18"/>
                <w:szCs w:val="18"/>
              </w:rPr>
            </w:pPr>
          </w:p>
        </w:tc>
        <w:tc>
          <w:tcPr>
            <w:tcW w:w="2416" w:type="dxa"/>
          </w:tcPr>
          <w:p w14:paraId="653C03C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06BA7DC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The City will support local not-for-profit organizations dedicating to providing services to low- and moderate-income residents and other special populations throughout this Annual Action Plan.</w:t>
            </w:r>
          </w:p>
        </w:tc>
      </w:tr>
      <w:tr w:rsidR="002C1FD9" w:rsidRPr="002C1FD9" w14:paraId="545120BE" w14:textId="77777777" w:rsidTr="00F227C0">
        <w:tc>
          <w:tcPr>
            <w:tcW w:w="440" w:type="dxa"/>
            <w:vMerge/>
          </w:tcPr>
          <w:p w14:paraId="238601FE" w14:textId="77777777" w:rsidR="00F227C0" w:rsidRPr="002C1FD9" w:rsidRDefault="00F227C0" w:rsidP="00F227C0">
            <w:pPr>
              <w:rPr>
                <w:rFonts w:asciiTheme="minorHAnsi" w:hAnsiTheme="minorHAnsi"/>
                <w:b/>
                <w:bCs/>
                <w:sz w:val="18"/>
                <w:szCs w:val="18"/>
              </w:rPr>
            </w:pPr>
          </w:p>
        </w:tc>
        <w:tc>
          <w:tcPr>
            <w:tcW w:w="2416" w:type="dxa"/>
          </w:tcPr>
          <w:p w14:paraId="26D3EE0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6293D2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4E128AB6" w14:textId="77777777" w:rsidTr="00F227C0">
        <w:tc>
          <w:tcPr>
            <w:tcW w:w="440" w:type="dxa"/>
            <w:vMerge/>
          </w:tcPr>
          <w:p w14:paraId="0F3CABC7" w14:textId="77777777" w:rsidR="00F227C0" w:rsidRPr="002C1FD9" w:rsidRDefault="00F227C0" w:rsidP="00F227C0">
            <w:pPr>
              <w:rPr>
                <w:rFonts w:asciiTheme="minorHAnsi" w:hAnsiTheme="minorHAnsi"/>
                <w:b/>
                <w:bCs/>
                <w:sz w:val="18"/>
                <w:szCs w:val="18"/>
              </w:rPr>
            </w:pPr>
          </w:p>
        </w:tc>
        <w:tc>
          <w:tcPr>
            <w:tcW w:w="2416" w:type="dxa"/>
          </w:tcPr>
          <w:p w14:paraId="5C8BBD6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1E982E47"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PATH will serve 220 individuals at-risk of becoming homeless or currently experiencing homelessness.  More than 1200 families will benefit from the other services provided through this project.  All clients served will meet income guidelines.</w:t>
            </w:r>
          </w:p>
        </w:tc>
      </w:tr>
      <w:tr w:rsidR="002C1FD9" w:rsidRPr="002C1FD9" w14:paraId="0BC1A385" w14:textId="77777777" w:rsidTr="00F227C0">
        <w:tc>
          <w:tcPr>
            <w:tcW w:w="440" w:type="dxa"/>
            <w:vMerge/>
          </w:tcPr>
          <w:p w14:paraId="5B08B5D1" w14:textId="77777777" w:rsidR="00F227C0" w:rsidRPr="002C1FD9" w:rsidRDefault="00F227C0" w:rsidP="00F227C0">
            <w:pPr>
              <w:rPr>
                <w:rFonts w:asciiTheme="minorHAnsi" w:hAnsiTheme="minorHAnsi"/>
                <w:b/>
                <w:bCs/>
                <w:sz w:val="18"/>
                <w:szCs w:val="18"/>
              </w:rPr>
            </w:pPr>
          </w:p>
        </w:tc>
        <w:tc>
          <w:tcPr>
            <w:tcW w:w="2416" w:type="dxa"/>
          </w:tcPr>
          <w:p w14:paraId="33DDC71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5A08AEA7"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 xml:space="preserve">Below are the addresses for the agencies funded, </w:t>
            </w:r>
            <w:r w:rsidR="00067151" w:rsidRPr="002C1FD9">
              <w:rPr>
                <w:rFonts w:asciiTheme="minorHAnsi" w:hAnsiTheme="minorHAnsi"/>
                <w:sz w:val="18"/>
                <w:szCs w:val="18"/>
              </w:rPr>
              <w:t>in</w:t>
            </w:r>
            <w:r w:rsidRPr="002C1FD9">
              <w:rPr>
                <w:rFonts w:asciiTheme="minorHAnsi" w:hAnsiTheme="minorHAnsi"/>
                <w:sz w:val="18"/>
                <w:szCs w:val="18"/>
              </w:rPr>
              <w:t xml:space="preserve"> many cases, services are conducted outside of the agency's office.</w:t>
            </w:r>
          </w:p>
          <w:p w14:paraId="16DEB4AB" w14:textId="77777777" w:rsidR="00F227C0" w:rsidRPr="002C1FD9" w:rsidRDefault="00F227C0" w:rsidP="00F227C0">
            <w:pPr>
              <w:spacing w:after="0"/>
              <w:rPr>
                <w:rFonts w:asciiTheme="minorHAnsi" w:hAnsiTheme="minorHAnsi"/>
                <w:sz w:val="18"/>
                <w:szCs w:val="18"/>
              </w:rPr>
            </w:pPr>
          </w:p>
          <w:p w14:paraId="6D94490F"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1311 W. Olive St., Bloomington</w:t>
            </w:r>
          </w:p>
          <w:p w14:paraId="40EA93D9"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201 E. Grove St, Bloomington</w:t>
            </w:r>
          </w:p>
          <w:p w14:paraId="6969ABE3"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515 N. Center, Bloomington</w:t>
            </w:r>
          </w:p>
          <w:p w14:paraId="095C5AAD"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 xml:space="preserve">724 W. </w:t>
            </w:r>
            <w:r w:rsidR="00067151" w:rsidRPr="002C1FD9">
              <w:rPr>
                <w:rFonts w:asciiTheme="minorHAnsi" w:hAnsiTheme="minorHAnsi"/>
                <w:sz w:val="18"/>
                <w:szCs w:val="18"/>
              </w:rPr>
              <w:t>Washington</w:t>
            </w:r>
            <w:r w:rsidRPr="002C1FD9">
              <w:rPr>
                <w:rFonts w:asciiTheme="minorHAnsi" w:hAnsiTheme="minorHAnsi"/>
                <w:sz w:val="18"/>
                <w:szCs w:val="18"/>
              </w:rPr>
              <w:t>, Bloomington</w:t>
            </w:r>
          </w:p>
          <w:p w14:paraId="7F501CE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1003 Maple Hill Rd, Bloomington (Peace Meals Bloomington Kitchen)</w:t>
            </w:r>
          </w:p>
        </w:tc>
      </w:tr>
      <w:tr w:rsidR="002C1FD9" w:rsidRPr="002C1FD9" w14:paraId="0B47EDE6" w14:textId="77777777" w:rsidTr="00F227C0">
        <w:tc>
          <w:tcPr>
            <w:tcW w:w="440" w:type="dxa"/>
            <w:vMerge/>
          </w:tcPr>
          <w:p w14:paraId="0AD9C6F4" w14:textId="77777777" w:rsidR="00F227C0" w:rsidRPr="002C1FD9" w:rsidRDefault="00F227C0" w:rsidP="00F227C0">
            <w:pPr>
              <w:rPr>
                <w:rFonts w:asciiTheme="minorHAnsi" w:hAnsiTheme="minorHAnsi"/>
                <w:b/>
                <w:bCs/>
                <w:sz w:val="18"/>
                <w:szCs w:val="18"/>
              </w:rPr>
            </w:pPr>
          </w:p>
        </w:tc>
        <w:tc>
          <w:tcPr>
            <w:tcW w:w="2416" w:type="dxa"/>
          </w:tcPr>
          <w:p w14:paraId="0EDE758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79956B3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Homeless services will be supported through grants to PATH's Homeless Services and Emergency Services programs and Recycling Furniture for Families.  Peace Meals services in-home delivered, congregate meals, and case management for seniors.  Dreams Are Possible provides job training and workforce development programs for low-income women.  WBRP provides a wide variety of services for West Bloomington residents, including The Tool Library, Bike Co-op, Veggie Oasis, community workshops and community gardens.</w:t>
            </w:r>
          </w:p>
        </w:tc>
      </w:tr>
      <w:tr w:rsidR="002C1FD9" w:rsidRPr="002C1FD9" w14:paraId="4B1F511A" w14:textId="77777777" w:rsidTr="00F227C0">
        <w:tc>
          <w:tcPr>
            <w:tcW w:w="440" w:type="dxa"/>
            <w:vMerge/>
          </w:tcPr>
          <w:p w14:paraId="65F9C3DC" w14:textId="77777777" w:rsidR="00F227C0" w:rsidRPr="002C1FD9" w:rsidRDefault="00F227C0" w:rsidP="00F227C0">
            <w:pPr>
              <w:rPr>
                <w:rFonts w:asciiTheme="minorHAnsi" w:hAnsiTheme="minorHAnsi"/>
                <w:b/>
                <w:bCs/>
                <w:sz w:val="18"/>
                <w:szCs w:val="18"/>
              </w:rPr>
            </w:pPr>
          </w:p>
        </w:tc>
        <w:tc>
          <w:tcPr>
            <w:tcW w:w="2416" w:type="dxa"/>
          </w:tcPr>
          <w:p w14:paraId="5023141B" w14:textId="77777777" w:rsidR="00F227C0" w:rsidRPr="002C1FD9" w:rsidRDefault="00F227C0" w:rsidP="00F227C0">
            <w:pPr>
              <w:rPr>
                <w:rFonts w:asciiTheme="minorHAnsi" w:hAnsiTheme="minorHAnsi"/>
                <w:b/>
                <w:bCs/>
                <w:sz w:val="18"/>
                <w:szCs w:val="18"/>
              </w:rPr>
            </w:pPr>
          </w:p>
        </w:tc>
        <w:tc>
          <w:tcPr>
            <w:tcW w:w="6494" w:type="dxa"/>
          </w:tcPr>
          <w:p w14:paraId="1F3B1409" w14:textId="77777777" w:rsidR="00F227C0" w:rsidRPr="002C1FD9" w:rsidRDefault="00F227C0" w:rsidP="00F227C0">
            <w:pPr>
              <w:rPr>
                <w:rFonts w:asciiTheme="minorHAnsi" w:hAnsiTheme="minorHAnsi"/>
                <w:b/>
                <w:bCs/>
                <w:sz w:val="18"/>
                <w:szCs w:val="18"/>
              </w:rPr>
            </w:pPr>
          </w:p>
        </w:tc>
      </w:tr>
      <w:tr w:rsidR="002C1FD9" w:rsidRPr="002C1FD9" w14:paraId="6DDB914C" w14:textId="77777777" w:rsidTr="00F227C0">
        <w:tc>
          <w:tcPr>
            <w:tcW w:w="440" w:type="dxa"/>
            <w:vMerge w:val="restart"/>
          </w:tcPr>
          <w:p w14:paraId="5D9A48C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6</w:t>
            </w:r>
          </w:p>
        </w:tc>
        <w:tc>
          <w:tcPr>
            <w:tcW w:w="2416" w:type="dxa"/>
          </w:tcPr>
          <w:p w14:paraId="562C75D1" w14:textId="77777777" w:rsidR="00F227C0" w:rsidRPr="002C1FD9" w:rsidRDefault="00F227C0" w:rsidP="00F227C0">
            <w:pPr>
              <w:rPr>
                <w:rFonts w:asciiTheme="minorHAnsi" w:hAnsiTheme="minorHAnsi"/>
                <w:b/>
                <w:bCs/>
                <w:sz w:val="18"/>
                <w:szCs w:val="18"/>
              </w:rPr>
            </w:pPr>
          </w:p>
        </w:tc>
        <w:tc>
          <w:tcPr>
            <w:tcW w:w="6494" w:type="dxa"/>
          </w:tcPr>
          <w:p w14:paraId="664355AD" w14:textId="77777777" w:rsidR="00F227C0" w:rsidRPr="002C1FD9" w:rsidRDefault="00F227C0" w:rsidP="00F227C0">
            <w:pPr>
              <w:rPr>
                <w:rFonts w:asciiTheme="minorHAnsi" w:hAnsiTheme="minorHAnsi"/>
                <w:b/>
                <w:bCs/>
                <w:sz w:val="18"/>
                <w:szCs w:val="18"/>
              </w:rPr>
            </w:pPr>
          </w:p>
        </w:tc>
      </w:tr>
      <w:tr w:rsidR="002C1FD9" w:rsidRPr="002C1FD9" w14:paraId="6142F1C9" w14:textId="77777777" w:rsidTr="00F227C0">
        <w:tc>
          <w:tcPr>
            <w:tcW w:w="440" w:type="dxa"/>
            <w:vMerge/>
          </w:tcPr>
          <w:p w14:paraId="1A965116" w14:textId="77777777" w:rsidR="00F227C0" w:rsidRPr="002C1FD9" w:rsidRDefault="00F227C0" w:rsidP="00F227C0">
            <w:pPr>
              <w:rPr>
                <w:rFonts w:asciiTheme="minorHAnsi" w:hAnsiTheme="minorHAnsi"/>
                <w:b/>
                <w:bCs/>
                <w:sz w:val="18"/>
                <w:szCs w:val="18"/>
              </w:rPr>
            </w:pPr>
          </w:p>
        </w:tc>
        <w:tc>
          <w:tcPr>
            <w:tcW w:w="2416" w:type="dxa"/>
          </w:tcPr>
          <w:p w14:paraId="1EE9F1C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07A1425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Parks and Recreation Center Improvements</w:t>
            </w:r>
          </w:p>
        </w:tc>
      </w:tr>
      <w:tr w:rsidR="002C1FD9" w:rsidRPr="002C1FD9" w14:paraId="52E3D484" w14:textId="77777777" w:rsidTr="00F227C0">
        <w:tc>
          <w:tcPr>
            <w:tcW w:w="440" w:type="dxa"/>
            <w:vMerge/>
          </w:tcPr>
          <w:p w14:paraId="7DF4E37C" w14:textId="77777777" w:rsidR="00F227C0" w:rsidRPr="002C1FD9" w:rsidRDefault="00F227C0" w:rsidP="00F227C0">
            <w:pPr>
              <w:rPr>
                <w:rFonts w:asciiTheme="minorHAnsi" w:hAnsiTheme="minorHAnsi"/>
                <w:b/>
                <w:bCs/>
                <w:sz w:val="18"/>
                <w:szCs w:val="18"/>
              </w:rPr>
            </w:pPr>
          </w:p>
        </w:tc>
        <w:tc>
          <w:tcPr>
            <w:tcW w:w="2416" w:type="dxa"/>
          </w:tcPr>
          <w:p w14:paraId="6C55DE4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44E12B88"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 Local Target area</w:t>
            </w:r>
          </w:p>
        </w:tc>
      </w:tr>
      <w:tr w:rsidR="002C1FD9" w:rsidRPr="002C1FD9" w14:paraId="2D776235" w14:textId="77777777" w:rsidTr="00F227C0">
        <w:tc>
          <w:tcPr>
            <w:tcW w:w="440" w:type="dxa"/>
            <w:vMerge/>
          </w:tcPr>
          <w:p w14:paraId="44FB30F8" w14:textId="77777777" w:rsidR="00F227C0" w:rsidRPr="002C1FD9" w:rsidRDefault="00F227C0" w:rsidP="00F227C0">
            <w:pPr>
              <w:rPr>
                <w:rFonts w:asciiTheme="minorHAnsi" w:hAnsiTheme="minorHAnsi"/>
                <w:b/>
                <w:bCs/>
                <w:sz w:val="18"/>
                <w:szCs w:val="18"/>
              </w:rPr>
            </w:pPr>
          </w:p>
        </w:tc>
        <w:tc>
          <w:tcPr>
            <w:tcW w:w="2416" w:type="dxa"/>
          </w:tcPr>
          <w:p w14:paraId="4DBEC92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66104395"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Provide quality services and facilities.</w:t>
            </w:r>
          </w:p>
        </w:tc>
      </w:tr>
      <w:tr w:rsidR="002C1FD9" w:rsidRPr="002C1FD9" w14:paraId="530B120F" w14:textId="77777777" w:rsidTr="00F227C0">
        <w:tc>
          <w:tcPr>
            <w:tcW w:w="440" w:type="dxa"/>
            <w:vMerge/>
          </w:tcPr>
          <w:p w14:paraId="1DA6542E" w14:textId="77777777" w:rsidR="00F227C0" w:rsidRPr="002C1FD9" w:rsidRDefault="00F227C0" w:rsidP="00F227C0">
            <w:pPr>
              <w:rPr>
                <w:rFonts w:asciiTheme="minorHAnsi" w:hAnsiTheme="minorHAnsi"/>
                <w:b/>
                <w:bCs/>
                <w:sz w:val="18"/>
                <w:szCs w:val="18"/>
              </w:rPr>
            </w:pPr>
          </w:p>
        </w:tc>
        <w:tc>
          <w:tcPr>
            <w:tcW w:w="2416" w:type="dxa"/>
          </w:tcPr>
          <w:p w14:paraId="44FF4DA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7023B5B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Parks and Community/Recreation Centers</w:t>
            </w:r>
          </w:p>
        </w:tc>
      </w:tr>
      <w:tr w:rsidR="002C1FD9" w:rsidRPr="002C1FD9" w14:paraId="49F06A62" w14:textId="77777777" w:rsidTr="00F227C0">
        <w:tc>
          <w:tcPr>
            <w:tcW w:w="440" w:type="dxa"/>
            <w:vMerge/>
          </w:tcPr>
          <w:p w14:paraId="3041E394" w14:textId="77777777" w:rsidR="00F227C0" w:rsidRPr="002C1FD9" w:rsidRDefault="00F227C0" w:rsidP="00F227C0">
            <w:pPr>
              <w:rPr>
                <w:rFonts w:asciiTheme="minorHAnsi" w:hAnsiTheme="minorHAnsi"/>
                <w:b/>
                <w:bCs/>
                <w:sz w:val="18"/>
                <w:szCs w:val="18"/>
              </w:rPr>
            </w:pPr>
          </w:p>
        </w:tc>
        <w:tc>
          <w:tcPr>
            <w:tcW w:w="2416" w:type="dxa"/>
          </w:tcPr>
          <w:p w14:paraId="595EE07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103CF62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$62,000</w:t>
            </w:r>
          </w:p>
        </w:tc>
      </w:tr>
      <w:tr w:rsidR="002C1FD9" w:rsidRPr="002C1FD9" w14:paraId="4050CC80" w14:textId="77777777" w:rsidTr="00F227C0">
        <w:tc>
          <w:tcPr>
            <w:tcW w:w="440" w:type="dxa"/>
            <w:vMerge/>
          </w:tcPr>
          <w:p w14:paraId="722B00AE" w14:textId="77777777" w:rsidR="00F227C0" w:rsidRPr="002C1FD9" w:rsidRDefault="00F227C0" w:rsidP="00F227C0">
            <w:pPr>
              <w:rPr>
                <w:rFonts w:asciiTheme="minorHAnsi" w:hAnsiTheme="minorHAnsi"/>
                <w:b/>
                <w:bCs/>
                <w:sz w:val="18"/>
                <w:szCs w:val="18"/>
              </w:rPr>
            </w:pPr>
          </w:p>
        </w:tc>
        <w:tc>
          <w:tcPr>
            <w:tcW w:w="2416" w:type="dxa"/>
          </w:tcPr>
          <w:p w14:paraId="34E8A8B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2203ED2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improvements to parks and recreation centers serving low- and moderate-income residents.</w:t>
            </w:r>
          </w:p>
        </w:tc>
      </w:tr>
      <w:tr w:rsidR="002C1FD9" w:rsidRPr="002C1FD9" w14:paraId="7710D428" w14:textId="77777777" w:rsidTr="00F227C0">
        <w:tc>
          <w:tcPr>
            <w:tcW w:w="440" w:type="dxa"/>
            <w:vMerge/>
          </w:tcPr>
          <w:p w14:paraId="42C6D796" w14:textId="77777777" w:rsidR="00F227C0" w:rsidRPr="002C1FD9" w:rsidRDefault="00F227C0" w:rsidP="00F227C0">
            <w:pPr>
              <w:rPr>
                <w:rFonts w:asciiTheme="minorHAnsi" w:hAnsiTheme="minorHAnsi"/>
                <w:b/>
                <w:bCs/>
                <w:sz w:val="18"/>
                <w:szCs w:val="18"/>
              </w:rPr>
            </w:pPr>
          </w:p>
        </w:tc>
        <w:tc>
          <w:tcPr>
            <w:tcW w:w="2416" w:type="dxa"/>
          </w:tcPr>
          <w:p w14:paraId="668165D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71C6FC1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0CA3CFCC" w14:textId="77777777" w:rsidTr="00F227C0">
        <w:tc>
          <w:tcPr>
            <w:tcW w:w="440" w:type="dxa"/>
            <w:vMerge/>
          </w:tcPr>
          <w:p w14:paraId="6E1831B3" w14:textId="77777777" w:rsidR="00F227C0" w:rsidRPr="002C1FD9" w:rsidRDefault="00F227C0" w:rsidP="00F227C0">
            <w:pPr>
              <w:rPr>
                <w:rFonts w:asciiTheme="minorHAnsi" w:hAnsiTheme="minorHAnsi"/>
                <w:b/>
                <w:bCs/>
                <w:sz w:val="18"/>
                <w:szCs w:val="18"/>
              </w:rPr>
            </w:pPr>
          </w:p>
        </w:tc>
        <w:tc>
          <w:tcPr>
            <w:tcW w:w="2416" w:type="dxa"/>
          </w:tcPr>
          <w:p w14:paraId="7B13C9C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3AD40DF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Households within 1/2 mile of Evergreen Park, estimated at 500.</w:t>
            </w:r>
          </w:p>
        </w:tc>
      </w:tr>
      <w:tr w:rsidR="002C1FD9" w:rsidRPr="002C1FD9" w14:paraId="2E47B0F5" w14:textId="77777777" w:rsidTr="00F227C0">
        <w:tc>
          <w:tcPr>
            <w:tcW w:w="440" w:type="dxa"/>
            <w:vMerge/>
          </w:tcPr>
          <w:p w14:paraId="54E11D2A" w14:textId="77777777" w:rsidR="00F227C0" w:rsidRPr="002C1FD9" w:rsidRDefault="00F227C0" w:rsidP="00F227C0">
            <w:pPr>
              <w:rPr>
                <w:rFonts w:asciiTheme="minorHAnsi" w:hAnsiTheme="minorHAnsi"/>
                <w:b/>
                <w:bCs/>
                <w:sz w:val="18"/>
                <w:szCs w:val="18"/>
              </w:rPr>
            </w:pPr>
          </w:p>
        </w:tc>
        <w:tc>
          <w:tcPr>
            <w:tcW w:w="2416" w:type="dxa"/>
          </w:tcPr>
          <w:p w14:paraId="7C85B9D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6D371C5E"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1514 N. Cottage, Bloomington, IL</w:t>
            </w:r>
          </w:p>
        </w:tc>
      </w:tr>
      <w:tr w:rsidR="002C1FD9" w:rsidRPr="002C1FD9" w14:paraId="196C1F2A" w14:textId="77777777" w:rsidTr="00F227C0">
        <w:tc>
          <w:tcPr>
            <w:tcW w:w="440" w:type="dxa"/>
            <w:vMerge/>
          </w:tcPr>
          <w:p w14:paraId="31126E5D" w14:textId="77777777" w:rsidR="00F227C0" w:rsidRPr="002C1FD9" w:rsidRDefault="00F227C0" w:rsidP="00F227C0">
            <w:pPr>
              <w:rPr>
                <w:rFonts w:asciiTheme="minorHAnsi" w:hAnsiTheme="minorHAnsi"/>
                <w:b/>
                <w:bCs/>
                <w:sz w:val="18"/>
                <w:szCs w:val="18"/>
              </w:rPr>
            </w:pPr>
          </w:p>
        </w:tc>
        <w:tc>
          <w:tcPr>
            <w:tcW w:w="2416" w:type="dxa"/>
          </w:tcPr>
          <w:p w14:paraId="5FECDCF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313CF23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Improvements to Evergreen Park including new playground equipment and basketball courts.</w:t>
            </w:r>
          </w:p>
        </w:tc>
      </w:tr>
      <w:tr w:rsidR="002C1FD9" w:rsidRPr="002C1FD9" w14:paraId="2DE403A5" w14:textId="77777777" w:rsidTr="00F227C0">
        <w:tc>
          <w:tcPr>
            <w:tcW w:w="440" w:type="dxa"/>
            <w:vMerge/>
          </w:tcPr>
          <w:p w14:paraId="62431CDC" w14:textId="77777777" w:rsidR="00F227C0" w:rsidRPr="002C1FD9" w:rsidRDefault="00F227C0" w:rsidP="00F227C0">
            <w:pPr>
              <w:rPr>
                <w:rFonts w:asciiTheme="minorHAnsi" w:hAnsiTheme="minorHAnsi"/>
                <w:b/>
                <w:bCs/>
                <w:sz w:val="18"/>
                <w:szCs w:val="18"/>
              </w:rPr>
            </w:pPr>
          </w:p>
        </w:tc>
        <w:tc>
          <w:tcPr>
            <w:tcW w:w="2416" w:type="dxa"/>
          </w:tcPr>
          <w:p w14:paraId="49E398E2" w14:textId="77777777" w:rsidR="00F227C0" w:rsidRPr="002C1FD9" w:rsidRDefault="00F227C0" w:rsidP="00F227C0">
            <w:pPr>
              <w:rPr>
                <w:rFonts w:asciiTheme="minorHAnsi" w:hAnsiTheme="minorHAnsi"/>
                <w:b/>
                <w:bCs/>
                <w:sz w:val="18"/>
                <w:szCs w:val="18"/>
              </w:rPr>
            </w:pPr>
          </w:p>
        </w:tc>
        <w:tc>
          <w:tcPr>
            <w:tcW w:w="6494" w:type="dxa"/>
          </w:tcPr>
          <w:p w14:paraId="16287F21" w14:textId="77777777" w:rsidR="00F227C0" w:rsidRPr="002C1FD9" w:rsidRDefault="00F227C0" w:rsidP="00F227C0">
            <w:pPr>
              <w:rPr>
                <w:rFonts w:asciiTheme="minorHAnsi" w:hAnsiTheme="minorHAnsi"/>
                <w:b/>
                <w:bCs/>
                <w:sz w:val="18"/>
                <w:szCs w:val="18"/>
              </w:rPr>
            </w:pPr>
          </w:p>
        </w:tc>
      </w:tr>
      <w:tr w:rsidR="002C1FD9" w:rsidRPr="002C1FD9" w14:paraId="109B8484" w14:textId="77777777" w:rsidTr="00F227C0">
        <w:tc>
          <w:tcPr>
            <w:tcW w:w="440" w:type="dxa"/>
            <w:vMerge w:val="restart"/>
          </w:tcPr>
          <w:p w14:paraId="6F74D8F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7</w:t>
            </w:r>
          </w:p>
        </w:tc>
        <w:tc>
          <w:tcPr>
            <w:tcW w:w="2416" w:type="dxa"/>
          </w:tcPr>
          <w:p w14:paraId="5BE93A62" w14:textId="77777777" w:rsidR="00F227C0" w:rsidRPr="002C1FD9" w:rsidRDefault="00F227C0" w:rsidP="00F227C0">
            <w:pPr>
              <w:rPr>
                <w:rFonts w:asciiTheme="minorHAnsi" w:hAnsiTheme="minorHAnsi"/>
                <w:b/>
                <w:bCs/>
                <w:sz w:val="18"/>
                <w:szCs w:val="18"/>
              </w:rPr>
            </w:pPr>
          </w:p>
        </w:tc>
        <w:tc>
          <w:tcPr>
            <w:tcW w:w="6494" w:type="dxa"/>
          </w:tcPr>
          <w:p w14:paraId="384BA73E" w14:textId="77777777" w:rsidR="00F227C0" w:rsidRPr="002C1FD9" w:rsidRDefault="00F227C0" w:rsidP="00F227C0">
            <w:pPr>
              <w:rPr>
                <w:rFonts w:asciiTheme="minorHAnsi" w:hAnsiTheme="minorHAnsi"/>
                <w:b/>
                <w:bCs/>
                <w:sz w:val="18"/>
                <w:szCs w:val="18"/>
              </w:rPr>
            </w:pPr>
          </w:p>
        </w:tc>
      </w:tr>
      <w:tr w:rsidR="002C1FD9" w:rsidRPr="002C1FD9" w14:paraId="21819C9C" w14:textId="77777777" w:rsidTr="00F227C0">
        <w:tc>
          <w:tcPr>
            <w:tcW w:w="440" w:type="dxa"/>
            <w:vMerge/>
          </w:tcPr>
          <w:p w14:paraId="34B3F2EB" w14:textId="77777777" w:rsidR="00F227C0" w:rsidRPr="002C1FD9" w:rsidRDefault="00F227C0" w:rsidP="00F227C0">
            <w:pPr>
              <w:rPr>
                <w:rFonts w:asciiTheme="minorHAnsi" w:hAnsiTheme="minorHAnsi"/>
                <w:b/>
                <w:bCs/>
                <w:sz w:val="18"/>
                <w:szCs w:val="18"/>
              </w:rPr>
            </w:pPr>
          </w:p>
        </w:tc>
        <w:tc>
          <w:tcPr>
            <w:tcW w:w="2416" w:type="dxa"/>
          </w:tcPr>
          <w:p w14:paraId="7E3671A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0C6BDE6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Sidewalk Improvements</w:t>
            </w:r>
          </w:p>
        </w:tc>
      </w:tr>
      <w:tr w:rsidR="002C1FD9" w:rsidRPr="002C1FD9" w14:paraId="5AE118D5" w14:textId="77777777" w:rsidTr="00F227C0">
        <w:tc>
          <w:tcPr>
            <w:tcW w:w="440" w:type="dxa"/>
            <w:vMerge/>
          </w:tcPr>
          <w:p w14:paraId="7D34F5C7" w14:textId="77777777" w:rsidR="00F227C0" w:rsidRPr="002C1FD9" w:rsidRDefault="00F227C0" w:rsidP="00F227C0">
            <w:pPr>
              <w:rPr>
                <w:rFonts w:asciiTheme="minorHAnsi" w:hAnsiTheme="minorHAnsi"/>
                <w:b/>
                <w:bCs/>
                <w:sz w:val="18"/>
                <w:szCs w:val="18"/>
              </w:rPr>
            </w:pPr>
          </w:p>
        </w:tc>
        <w:tc>
          <w:tcPr>
            <w:tcW w:w="2416" w:type="dxa"/>
          </w:tcPr>
          <w:p w14:paraId="11C9BC2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3C35C0F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WBRP Service Area - Local Target area</w:t>
            </w:r>
          </w:p>
        </w:tc>
      </w:tr>
      <w:tr w:rsidR="002C1FD9" w:rsidRPr="002C1FD9" w14:paraId="28BB5D54" w14:textId="77777777" w:rsidTr="00F227C0">
        <w:tc>
          <w:tcPr>
            <w:tcW w:w="440" w:type="dxa"/>
            <w:vMerge/>
          </w:tcPr>
          <w:p w14:paraId="0B4020A7" w14:textId="77777777" w:rsidR="00F227C0" w:rsidRPr="002C1FD9" w:rsidRDefault="00F227C0" w:rsidP="00F227C0">
            <w:pPr>
              <w:rPr>
                <w:rFonts w:asciiTheme="minorHAnsi" w:hAnsiTheme="minorHAnsi"/>
                <w:b/>
                <w:bCs/>
                <w:sz w:val="18"/>
                <w:szCs w:val="18"/>
              </w:rPr>
            </w:pPr>
          </w:p>
        </w:tc>
        <w:tc>
          <w:tcPr>
            <w:tcW w:w="2416" w:type="dxa"/>
          </w:tcPr>
          <w:p w14:paraId="576186F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7C16C41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Provide quality services and facilities.</w:t>
            </w:r>
          </w:p>
        </w:tc>
      </w:tr>
      <w:tr w:rsidR="002C1FD9" w:rsidRPr="002C1FD9" w14:paraId="766DB8FC" w14:textId="77777777" w:rsidTr="00F227C0">
        <w:tc>
          <w:tcPr>
            <w:tcW w:w="440" w:type="dxa"/>
            <w:vMerge/>
          </w:tcPr>
          <w:p w14:paraId="1D7B270A" w14:textId="77777777" w:rsidR="00F227C0" w:rsidRPr="002C1FD9" w:rsidRDefault="00F227C0" w:rsidP="00F227C0">
            <w:pPr>
              <w:rPr>
                <w:rFonts w:asciiTheme="minorHAnsi" w:hAnsiTheme="minorHAnsi"/>
                <w:b/>
                <w:bCs/>
                <w:sz w:val="18"/>
                <w:szCs w:val="18"/>
              </w:rPr>
            </w:pPr>
          </w:p>
        </w:tc>
        <w:tc>
          <w:tcPr>
            <w:tcW w:w="2416" w:type="dxa"/>
          </w:tcPr>
          <w:p w14:paraId="21EB87C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4F904CB7" w14:textId="77777777" w:rsidR="00F227C0" w:rsidRPr="002C1FD9" w:rsidRDefault="00F227C0" w:rsidP="00F227C0">
            <w:pPr>
              <w:spacing w:after="0"/>
              <w:rPr>
                <w:rFonts w:asciiTheme="minorHAnsi" w:hAnsiTheme="minorHAnsi"/>
                <w:sz w:val="18"/>
                <w:szCs w:val="18"/>
              </w:rPr>
            </w:pPr>
          </w:p>
          <w:p w14:paraId="100C5B58" w14:textId="77777777" w:rsidR="00F227C0" w:rsidRPr="002C1FD9" w:rsidRDefault="00F227C0" w:rsidP="00F227C0">
            <w:pPr>
              <w:spacing w:after="0"/>
              <w:rPr>
                <w:rFonts w:asciiTheme="minorHAnsi" w:hAnsiTheme="minorHAnsi"/>
                <w:sz w:val="18"/>
                <w:szCs w:val="18"/>
              </w:rPr>
            </w:pPr>
            <w:r w:rsidRPr="002C1FD9">
              <w:rPr>
                <w:rFonts w:asciiTheme="minorHAnsi" w:hAnsiTheme="minorHAnsi"/>
                <w:sz w:val="18"/>
                <w:szCs w:val="18"/>
              </w:rPr>
              <w:t xml:space="preserve"> </w:t>
            </w:r>
          </w:p>
          <w:p w14:paraId="0B42431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Accessibility Improvements; Sidewalk Improvements</w:t>
            </w:r>
          </w:p>
        </w:tc>
      </w:tr>
      <w:tr w:rsidR="002C1FD9" w:rsidRPr="002C1FD9" w14:paraId="5556EAC0" w14:textId="77777777" w:rsidTr="00F227C0">
        <w:tc>
          <w:tcPr>
            <w:tcW w:w="440" w:type="dxa"/>
            <w:vMerge/>
          </w:tcPr>
          <w:p w14:paraId="06971CD3" w14:textId="77777777" w:rsidR="00F227C0" w:rsidRPr="002C1FD9" w:rsidRDefault="00F227C0" w:rsidP="00F227C0">
            <w:pPr>
              <w:rPr>
                <w:rFonts w:asciiTheme="minorHAnsi" w:hAnsiTheme="minorHAnsi"/>
                <w:b/>
                <w:bCs/>
                <w:sz w:val="18"/>
                <w:szCs w:val="18"/>
              </w:rPr>
            </w:pPr>
          </w:p>
        </w:tc>
        <w:tc>
          <w:tcPr>
            <w:tcW w:w="2416" w:type="dxa"/>
          </w:tcPr>
          <w:p w14:paraId="6738B31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364FF02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$80,000</w:t>
            </w:r>
          </w:p>
        </w:tc>
      </w:tr>
      <w:tr w:rsidR="002C1FD9" w:rsidRPr="002C1FD9" w14:paraId="093A7295" w14:textId="77777777" w:rsidTr="00F227C0">
        <w:tc>
          <w:tcPr>
            <w:tcW w:w="440" w:type="dxa"/>
            <w:vMerge/>
          </w:tcPr>
          <w:p w14:paraId="2A1F701D" w14:textId="77777777" w:rsidR="00F227C0" w:rsidRPr="002C1FD9" w:rsidRDefault="00F227C0" w:rsidP="00F227C0">
            <w:pPr>
              <w:rPr>
                <w:rFonts w:asciiTheme="minorHAnsi" w:hAnsiTheme="minorHAnsi"/>
                <w:b/>
                <w:bCs/>
                <w:sz w:val="18"/>
                <w:szCs w:val="18"/>
              </w:rPr>
            </w:pPr>
          </w:p>
        </w:tc>
        <w:tc>
          <w:tcPr>
            <w:tcW w:w="2416" w:type="dxa"/>
          </w:tcPr>
          <w:p w14:paraId="50E4FD8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32CFBE64"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sidewalk improvements in low- and moderate-income area.</w:t>
            </w:r>
          </w:p>
        </w:tc>
      </w:tr>
      <w:tr w:rsidR="002C1FD9" w:rsidRPr="002C1FD9" w14:paraId="350EBC39" w14:textId="77777777" w:rsidTr="00F227C0">
        <w:tc>
          <w:tcPr>
            <w:tcW w:w="440" w:type="dxa"/>
            <w:vMerge/>
          </w:tcPr>
          <w:p w14:paraId="03EFCA41" w14:textId="77777777" w:rsidR="00F227C0" w:rsidRPr="002C1FD9" w:rsidRDefault="00F227C0" w:rsidP="00F227C0">
            <w:pPr>
              <w:rPr>
                <w:rFonts w:asciiTheme="minorHAnsi" w:hAnsiTheme="minorHAnsi"/>
                <w:b/>
                <w:bCs/>
                <w:sz w:val="18"/>
                <w:szCs w:val="18"/>
              </w:rPr>
            </w:pPr>
          </w:p>
        </w:tc>
        <w:tc>
          <w:tcPr>
            <w:tcW w:w="2416" w:type="dxa"/>
          </w:tcPr>
          <w:p w14:paraId="6A2F7E5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6E4DB12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410A4CC5" w14:textId="77777777" w:rsidTr="00F227C0">
        <w:tc>
          <w:tcPr>
            <w:tcW w:w="440" w:type="dxa"/>
            <w:vMerge/>
          </w:tcPr>
          <w:p w14:paraId="5F96A722" w14:textId="77777777" w:rsidR="00F227C0" w:rsidRPr="002C1FD9" w:rsidRDefault="00F227C0" w:rsidP="00F227C0">
            <w:pPr>
              <w:rPr>
                <w:rFonts w:asciiTheme="minorHAnsi" w:hAnsiTheme="minorHAnsi"/>
                <w:b/>
                <w:bCs/>
                <w:sz w:val="18"/>
                <w:szCs w:val="18"/>
              </w:rPr>
            </w:pPr>
          </w:p>
        </w:tc>
        <w:tc>
          <w:tcPr>
            <w:tcW w:w="2416" w:type="dxa"/>
          </w:tcPr>
          <w:p w14:paraId="1EF8638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34C7964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Households within 1/2 mile of Evergreen Park, estimated at 500.</w:t>
            </w:r>
          </w:p>
        </w:tc>
      </w:tr>
      <w:tr w:rsidR="002C1FD9" w:rsidRPr="002C1FD9" w14:paraId="543B18ED" w14:textId="77777777" w:rsidTr="00F227C0">
        <w:tc>
          <w:tcPr>
            <w:tcW w:w="440" w:type="dxa"/>
            <w:vMerge/>
          </w:tcPr>
          <w:p w14:paraId="5B95CD12" w14:textId="77777777" w:rsidR="00F227C0" w:rsidRPr="002C1FD9" w:rsidRDefault="00F227C0" w:rsidP="00F227C0">
            <w:pPr>
              <w:rPr>
                <w:rFonts w:asciiTheme="minorHAnsi" w:hAnsiTheme="minorHAnsi"/>
                <w:b/>
                <w:bCs/>
                <w:sz w:val="18"/>
                <w:szCs w:val="18"/>
              </w:rPr>
            </w:pPr>
          </w:p>
        </w:tc>
        <w:tc>
          <w:tcPr>
            <w:tcW w:w="2416" w:type="dxa"/>
          </w:tcPr>
          <w:p w14:paraId="3CDA6E7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4C51507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Sidewalk improvements will be completed primarily within the WBRP Service Area.  Improvements along W. Market will be completed first.  If funding remains, improvements along W. Washington and W. Front may also occur.</w:t>
            </w:r>
          </w:p>
        </w:tc>
      </w:tr>
      <w:tr w:rsidR="002C1FD9" w:rsidRPr="002C1FD9" w14:paraId="7CDA0A43" w14:textId="77777777" w:rsidTr="00F227C0">
        <w:tc>
          <w:tcPr>
            <w:tcW w:w="440" w:type="dxa"/>
            <w:vMerge/>
          </w:tcPr>
          <w:p w14:paraId="5220BBB2" w14:textId="77777777" w:rsidR="00F227C0" w:rsidRPr="002C1FD9" w:rsidRDefault="00F227C0" w:rsidP="00F227C0">
            <w:pPr>
              <w:rPr>
                <w:rFonts w:asciiTheme="minorHAnsi" w:hAnsiTheme="minorHAnsi"/>
                <w:b/>
                <w:bCs/>
                <w:sz w:val="18"/>
                <w:szCs w:val="18"/>
              </w:rPr>
            </w:pPr>
          </w:p>
        </w:tc>
        <w:tc>
          <w:tcPr>
            <w:tcW w:w="2416" w:type="dxa"/>
          </w:tcPr>
          <w:p w14:paraId="379ED05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7EA932E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Sidewalk replacement, including ADA ramps, in the WBRP Service Area.</w:t>
            </w:r>
          </w:p>
        </w:tc>
      </w:tr>
      <w:tr w:rsidR="002C1FD9" w:rsidRPr="002C1FD9" w14:paraId="13CB595B" w14:textId="77777777" w:rsidTr="00F227C0">
        <w:tc>
          <w:tcPr>
            <w:tcW w:w="440" w:type="dxa"/>
            <w:vMerge/>
          </w:tcPr>
          <w:p w14:paraId="6D9C8D39" w14:textId="77777777" w:rsidR="00F227C0" w:rsidRPr="002C1FD9" w:rsidRDefault="00F227C0" w:rsidP="00F227C0">
            <w:pPr>
              <w:rPr>
                <w:rFonts w:asciiTheme="minorHAnsi" w:hAnsiTheme="minorHAnsi"/>
                <w:b/>
                <w:bCs/>
                <w:sz w:val="18"/>
                <w:szCs w:val="18"/>
              </w:rPr>
            </w:pPr>
          </w:p>
        </w:tc>
        <w:tc>
          <w:tcPr>
            <w:tcW w:w="2416" w:type="dxa"/>
          </w:tcPr>
          <w:p w14:paraId="675E05EE" w14:textId="77777777" w:rsidR="00F227C0" w:rsidRPr="002C1FD9" w:rsidRDefault="00F227C0" w:rsidP="00F227C0">
            <w:pPr>
              <w:rPr>
                <w:rFonts w:asciiTheme="minorHAnsi" w:hAnsiTheme="minorHAnsi"/>
                <w:b/>
                <w:bCs/>
                <w:sz w:val="18"/>
                <w:szCs w:val="18"/>
              </w:rPr>
            </w:pPr>
          </w:p>
        </w:tc>
        <w:tc>
          <w:tcPr>
            <w:tcW w:w="6494" w:type="dxa"/>
          </w:tcPr>
          <w:p w14:paraId="2FC17F8B" w14:textId="77777777" w:rsidR="00F227C0" w:rsidRPr="002C1FD9" w:rsidRDefault="00F227C0" w:rsidP="00F227C0">
            <w:pPr>
              <w:rPr>
                <w:rFonts w:asciiTheme="minorHAnsi" w:hAnsiTheme="minorHAnsi"/>
                <w:b/>
                <w:bCs/>
                <w:sz w:val="18"/>
                <w:szCs w:val="18"/>
              </w:rPr>
            </w:pPr>
          </w:p>
        </w:tc>
      </w:tr>
      <w:tr w:rsidR="002C1FD9" w:rsidRPr="002C1FD9" w14:paraId="03853697" w14:textId="77777777" w:rsidTr="00F227C0">
        <w:tc>
          <w:tcPr>
            <w:tcW w:w="440" w:type="dxa"/>
            <w:vMerge w:val="restart"/>
          </w:tcPr>
          <w:p w14:paraId="49832D11"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8</w:t>
            </w:r>
          </w:p>
        </w:tc>
        <w:tc>
          <w:tcPr>
            <w:tcW w:w="2416" w:type="dxa"/>
          </w:tcPr>
          <w:p w14:paraId="0A4F7224" w14:textId="77777777" w:rsidR="00F227C0" w:rsidRPr="002C1FD9" w:rsidRDefault="00F227C0" w:rsidP="00F227C0">
            <w:pPr>
              <w:rPr>
                <w:rFonts w:asciiTheme="minorHAnsi" w:hAnsiTheme="minorHAnsi"/>
                <w:b/>
                <w:bCs/>
                <w:sz w:val="18"/>
                <w:szCs w:val="18"/>
              </w:rPr>
            </w:pPr>
          </w:p>
        </w:tc>
        <w:tc>
          <w:tcPr>
            <w:tcW w:w="6494" w:type="dxa"/>
          </w:tcPr>
          <w:p w14:paraId="5AE48A43" w14:textId="77777777" w:rsidR="00F227C0" w:rsidRPr="002C1FD9" w:rsidRDefault="00F227C0" w:rsidP="00F227C0">
            <w:pPr>
              <w:rPr>
                <w:rFonts w:asciiTheme="minorHAnsi" w:hAnsiTheme="minorHAnsi"/>
                <w:b/>
                <w:bCs/>
                <w:sz w:val="18"/>
                <w:szCs w:val="18"/>
              </w:rPr>
            </w:pPr>
          </w:p>
        </w:tc>
      </w:tr>
      <w:tr w:rsidR="002C1FD9" w:rsidRPr="002C1FD9" w14:paraId="0B38584C" w14:textId="77777777" w:rsidTr="00F227C0">
        <w:tc>
          <w:tcPr>
            <w:tcW w:w="440" w:type="dxa"/>
            <w:vMerge/>
          </w:tcPr>
          <w:p w14:paraId="50F40DEB" w14:textId="77777777" w:rsidR="00F227C0" w:rsidRPr="002C1FD9" w:rsidRDefault="00F227C0" w:rsidP="00F227C0">
            <w:pPr>
              <w:rPr>
                <w:rFonts w:asciiTheme="minorHAnsi" w:hAnsiTheme="minorHAnsi"/>
                <w:b/>
                <w:bCs/>
                <w:sz w:val="18"/>
                <w:szCs w:val="18"/>
              </w:rPr>
            </w:pPr>
          </w:p>
        </w:tc>
        <w:tc>
          <w:tcPr>
            <w:tcW w:w="2416" w:type="dxa"/>
          </w:tcPr>
          <w:p w14:paraId="5BBC51E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1E59E59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Non-Profit Building Improvements</w:t>
            </w:r>
          </w:p>
        </w:tc>
      </w:tr>
      <w:tr w:rsidR="002C1FD9" w:rsidRPr="002C1FD9" w14:paraId="6AF9B110" w14:textId="77777777" w:rsidTr="00F227C0">
        <w:tc>
          <w:tcPr>
            <w:tcW w:w="440" w:type="dxa"/>
            <w:vMerge/>
          </w:tcPr>
          <w:p w14:paraId="77A52294" w14:textId="77777777" w:rsidR="00F227C0" w:rsidRPr="002C1FD9" w:rsidRDefault="00F227C0" w:rsidP="00F227C0">
            <w:pPr>
              <w:rPr>
                <w:rFonts w:asciiTheme="minorHAnsi" w:hAnsiTheme="minorHAnsi"/>
                <w:b/>
                <w:bCs/>
                <w:sz w:val="18"/>
                <w:szCs w:val="18"/>
              </w:rPr>
            </w:pPr>
          </w:p>
        </w:tc>
        <w:tc>
          <w:tcPr>
            <w:tcW w:w="2416" w:type="dxa"/>
          </w:tcPr>
          <w:p w14:paraId="04BB9A9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15E568DE"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WBRP Service Area - Local Target area</w:t>
            </w:r>
          </w:p>
        </w:tc>
      </w:tr>
      <w:tr w:rsidR="002C1FD9" w:rsidRPr="002C1FD9" w14:paraId="3979B2A0" w14:textId="77777777" w:rsidTr="00F227C0">
        <w:tc>
          <w:tcPr>
            <w:tcW w:w="440" w:type="dxa"/>
            <w:vMerge/>
          </w:tcPr>
          <w:p w14:paraId="007DCDA8" w14:textId="77777777" w:rsidR="00F227C0" w:rsidRPr="002C1FD9" w:rsidRDefault="00F227C0" w:rsidP="00F227C0">
            <w:pPr>
              <w:rPr>
                <w:rFonts w:asciiTheme="minorHAnsi" w:hAnsiTheme="minorHAnsi"/>
                <w:b/>
                <w:bCs/>
                <w:sz w:val="18"/>
                <w:szCs w:val="18"/>
              </w:rPr>
            </w:pPr>
          </w:p>
        </w:tc>
        <w:tc>
          <w:tcPr>
            <w:tcW w:w="2416" w:type="dxa"/>
          </w:tcPr>
          <w:p w14:paraId="07C7C59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347E9D9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Provide quality services and facilities.</w:t>
            </w:r>
          </w:p>
        </w:tc>
      </w:tr>
      <w:tr w:rsidR="002C1FD9" w:rsidRPr="002C1FD9" w14:paraId="5D30BC98" w14:textId="77777777" w:rsidTr="00F227C0">
        <w:tc>
          <w:tcPr>
            <w:tcW w:w="440" w:type="dxa"/>
            <w:vMerge/>
          </w:tcPr>
          <w:p w14:paraId="450EA2D7" w14:textId="77777777" w:rsidR="00F227C0" w:rsidRPr="002C1FD9" w:rsidRDefault="00F227C0" w:rsidP="00F227C0">
            <w:pPr>
              <w:rPr>
                <w:rFonts w:asciiTheme="minorHAnsi" w:hAnsiTheme="minorHAnsi"/>
                <w:b/>
                <w:bCs/>
                <w:sz w:val="18"/>
                <w:szCs w:val="18"/>
              </w:rPr>
            </w:pPr>
          </w:p>
        </w:tc>
        <w:tc>
          <w:tcPr>
            <w:tcW w:w="2416" w:type="dxa"/>
          </w:tcPr>
          <w:p w14:paraId="52693FF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5DC6BECA"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Accessibility Improvements; Business Support</w:t>
            </w:r>
          </w:p>
        </w:tc>
      </w:tr>
      <w:tr w:rsidR="002C1FD9" w:rsidRPr="002C1FD9" w14:paraId="1397FB5E" w14:textId="77777777" w:rsidTr="00F227C0">
        <w:tc>
          <w:tcPr>
            <w:tcW w:w="440" w:type="dxa"/>
            <w:vMerge/>
          </w:tcPr>
          <w:p w14:paraId="3DD355C9" w14:textId="77777777" w:rsidR="00F227C0" w:rsidRPr="002C1FD9" w:rsidRDefault="00F227C0" w:rsidP="00F227C0">
            <w:pPr>
              <w:rPr>
                <w:rFonts w:asciiTheme="minorHAnsi" w:hAnsiTheme="minorHAnsi"/>
                <w:b/>
                <w:bCs/>
                <w:sz w:val="18"/>
                <w:szCs w:val="18"/>
              </w:rPr>
            </w:pPr>
          </w:p>
        </w:tc>
        <w:tc>
          <w:tcPr>
            <w:tcW w:w="2416" w:type="dxa"/>
          </w:tcPr>
          <w:p w14:paraId="28A1AA6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43F6A84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$30,000</w:t>
            </w:r>
          </w:p>
        </w:tc>
      </w:tr>
      <w:tr w:rsidR="002C1FD9" w:rsidRPr="002C1FD9" w14:paraId="7C4212DF" w14:textId="77777777" w:rsidTr="00F227C0">
        <w:tc>
          <w:tcPr>
            <w:tcW w:w="440" w:type="dxa"/>
            <w:vMerge/>
          </w:tcPr>
          <w:p w14:paraId="1A81F0B1" w14:textId="77777777" w:rsidR="00F227C0" w:rsidRPr="002C1FD9" w:rsidRDefault="00F227C0" w:rsidP="00F227C0">
            <w:pPr>
              <w:rPr>
                <w:rFonts w:asciiTheme="minorHAnsi" w:hAnsiTheme="minorHAnsi"/>
                <w:b/>
                <w:bCs/>
                <w:sz w:val="18"/>
                <w:szCs w:val="18"/>
              </w:rPr>
            </w:pPr>
          </w:p>
        </w:tc>
        <w:tc>
          <w:tcPr>
            <w:tcW w:w="2416" w:type="dxa"/>
          </w:tcPr>
          <w:p w14:paraId="617D99B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1A2E454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improvements to buildings owned by not-for-profit organizations, are open to the public, and serve primarily low- and moderate-income residents.</w:t>
            </w:r>
          </w:p>
        </w:tc>
      </w:tr>
      <w:tr w:rsidR="002C1FD9" w:rsidRPr="002C1FD9" w14:paraId="5CEB7F6E" w14:textId="77777777" w:rsidTr="00F227C0">
        <w:tc>
          <w:tcPr>
            <w:tcW w:w="440" w:type="dxa"/>
            <w:vMerge/>
          </w:tcPr>
          <w:p w14:paraId="717AAFBA" w14:textId="77777777" w:rsidR="00F227C0" w:rsidRPr="002C1FD9" w:rsidRDefault="00F227C0" w:rsidP="00F227C0">
            <w:pPr>
              <w:rPr>
                <w:rFonts w:asciiTheme="minorHAnsi" w:hAnsiTheme="minorHAnsi"/>
                <w:b/>
                <w:bCs/>
                <w:sz w:val="18"/>
                <w:szCs w:val="18"/>
              </w:rPr>
            </w:pPr>
          </w:p>
        </w:tc>
        <w:tc>
          <w:tcPr>
            <w:tcW w:w="2416" w:type="dxa"/>
          </w:tcPr>
          <w:p w14:paraId="37C5ACF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111B72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00B78300" w14:textId="77777777" w:rsidTr="00F227C0">
        <w:tc>
          <w:tcPr>
            <w:tcW w:w="440" w:type="dxa"/>
            <w:vMerge/>
          </w:tcPr>
          <w:p w14:paraId="56EE48EE" w14:textId="77777777" w:rsidR="00F227C0" w:rsidRPr="002C1FD9" w:rsidRDefault="00F227C0" w:rsidP="00F227C0">
            <w:pPr>
              <w:rPr>
                <w:rFonts w:asciiTheme="minorHAnsi" w:hAnsiTheme="minorHAnsi"/>
                <w:b/>
                <w:bCs/>
                <w:sz w:val="18"/>
                <w:szCs w:val="18"/>
              </w:rPr>
            </w:pPr>
          </w:p>
        </w:tc>
        <w:tc>
          <w:tcPr>
            <w:tcW w:w="2416" w:type="dxa"/>
          </w:tcPr>
          <w:p w14:paraId="1CAC30E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 xml:space="preserve">Estimate the number and type of families that will </w:t>
            </w:r>
            <w:r w:rsidRPr="002C1FD9">
              <w:rPr>
                <w:rFonts w:asciiTheme="minorHAnsi" w:hAnsiTheme="minorHAnsi"/>
                <w:b/>
                <w:bCs/>
                <w:sz w:val="18"/>
                <w:szCs w:val="18"/>
              </w:rPr>
              <w:lastRenderedPageBreak/>
              <w:t>benefit from the proposed activities</w:t>
            </w:r>
          </w:p>
        </w:tc>
        <w:tc>
          <w:tcPr>
            <w:tcW w:w="6494" w:type="dxa"/>
          </w:tcPr>
          <w:p w14:paraId="377C632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lastRenderedPageBreak/>
              <w:t>300 low- and moderate-income residents will benefit from this building improvement.</w:t>
            </w:r>
          </w:p>
        </w:tc>
      </w:tr>
      <w:tr w:rsidR="002C1FD9" w:rsidRPr="002C1FD9" w14:paraId="7409CA7D" w14:textId="77777777" w:rsidTr="00F227C0">
        <w:tc>
          <w:tcPr>
            <w:tcW w:w="440" w:type="dxa"/>
            <w:vMerge/>
          </w:tcPr>
          <w:p w14:paraId="2908EB2C" w14:textId="77777777" w:rsidR="00F227C0" w:rsidRPr="002C1FD9" w:rsidRDefault="00F227C0" w:rsidP="00F227C0">
            <w:pPr>
              <w:rPr>
                <w:rFonts w:asciiTheme="minorHAnsi" w:hAnsiTheme="minorHAnsi"/>
                <w:b/>
                <w:bCs/>
                <w:sz w:val="18"/>
                <w:szCs w:val="18"/>
              </w:rPr>
            </w:pPr>
          </w:p>
        </w:tc>
        <w:tc>
          <w:tcPr>
            <w:tcW w:w="2416" w:type="dxa"/>
          </w:tcPr>
          <w:p w14:paraId="76B7F63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51C2388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1301 W. Washington St., Bloomington, IL</w:t>
            </w:r>
          </w:p>
        </w:tc>
      </w:tr>
      <w:tr w:rsidR="002C1FD9" w:rsidRPr="002C1FD9" w14:paraId="0BA93F02" w14:textId="77777777" w:rsidTr="00F227C0">
        <w:tc>
          <w:tcPr>
            <w:tcW w:w="440" w:type="dxa"/>
            <w:vMerge/>
          </w:tcPr>
          <w:p w14:paraId="121FD38A" w14:textId="77777777" w:rsidR="00F227C0" w:rsidRPr="002C1FD9" w:rsidRDefault="00F227C0" w:rsidP="00F227C0">
            <w:pPr>
              <w:rPr>
                <w:rFonts w:asciiTheme="minorHAnsi" w:hAnsiTheme="minorHAnsi"/>
                <w:b/>
                <w:bCs/>
                <w:sz w:val="18"/>
                <w:szCs w:val="18"/>
              </w:rPr>
            </w:pPr>
          </w:p>
        </w:tc>
        <w:tc>
          <w:tcPr>
            <w:tcW w:w="2416" w:type="dxa"/>
          </w:tcPr>
          <w:p w14:paraId="634E0D5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54D1893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Mid Central Community Action will receive a grant to support rehabilitation of a portion of its Bloomington office for the purpose of ADA compliance.</w:t>
            </w:r>
          </w:p>
        </w:tc>
      </w:tr>
      <w:tr w:rsidR="002C1FD9" w:rsidRPr="002C1FD9" w14:paraId="1FE2DD96" w14:textId="77777777" w:rsidTr="00F227C0">
        <w:tc>
          <w:tcPr>
            <w:tcW w:w="440" w:type="dxa"/>
            <w:vMerge/>
          </w:tcPr>
          <w:p w14:paraId="27357532" w14:textId="77777777" w:rsidR="00F227C0" w:rsidRPr="002C1FD9" w:rsidRDefault="00F227C0" w:rsidP="00F227C0">
            <w:pPr>
              <w:rPr>
                <w:rFonts w:asciiTheme="minorHAnsi" w:hAnsiTheme="minorHAnsi"/>
                <w:b/>
                <w:bCs/>
                <w:sz w:val="18"/>
                <w:szCs w:val="18"/>
              </w:rPr>
            </w:pPr>
          </w:p>
        </w:tc>
        <w:tc>
          <w:tcPr>
            <w:tcW w:w="2416" w:type="dxa"/>
          </w:tcPr>
          <w:p w14:paraId="07F023C8" w14:textId="77777777" w:rsidR="00F227C0" w:rsidRPr="002C1FD9" w:rsidRDefault="00F227C0" w:rsidP="00F227C0">
            <w:pPr>
              <w:rPr>
                <w:rFonts w:asciiTheme="minorHAnsi" w:hAnsiTheme="minorHAnsi"/>
                <w:b/>
                <w:bCs/>
                <w:sz w:val="18"/>
                <w:szCs w:val="18"/>
              </w:rPr>
            </w:pPr>
          </w:p>
        </w:tc>
        <w:tc>
          <w:tcPr>
            <w:tcW w:w="6494" w:type="dxa"/>
          </w:tcPr>
          <w:p w14:paraId="4BDB5498" w14:textId="77777777" w:rsidR="00F227C0" w:rsidRPr="002C1FD9" w:rsidRDefault="00F227C0" w:rsidP="00F227C0">
            <w:pPr>
              <w:rPr>
                <w:rFonts w:asciiTheme="minorHAnsi" w:hAnsiTheme="minorHAnsi"/>
                <w:b/>
                <w:bCs/>
                <w:sz w:val="18"/>
                <w:szCs w:val="18"/>
              </w:rPr>
            </w:pPr>
          </w:p>
        </w:tc>
      </w:tr>
      <w:tr w:rsidR="002C1FD9" w:rsidRPr="002C1FD9" w14:paraId="089009E4" w14:textId="77777777" w:rsidTr="00F227C0">
        <w:tc>
          <w:tcPr>
            <w:tcW w:w="440" w:type="dxa"/>
            <w:vMerge w:val="restart"/>
          </w:tcPr>
          <w:p w14:paraId="4212456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9</w:t>
            </w:r>
          </w:p>
        </w:tc>
        <w:tc>
          <w:tcPr>
            <w:tcW w:w="2416" w:type="dxa"/>
          </w:tcPr>
          <w:p w14:paraId="2916C19D" w14:textId="77777777" w:rsidR="00F227C0" w:rsidRPr="002C1FD9" w:rsidRDefault="00F227C0" w:rsidP="00F227C0">
            <w:pPr>
              <w:rPr>
                <w:rFonts w:asciiTheme="minorHAnsi" w:hAnsiTheme="minorHAnsi"/>
                <w:b/>
                <w:bCs/>
                <w:sz w:val="18"/>
                <w:szCs w:val="18"/>
              </w:rPr>
            </w:pPr>
          </w:p>
        </w:tc>
        <w:tc>
          <w:tcPr>
            <w:tcW w:w="6494" w:type="dxa"/>
          </w:tcPr>
          <w:p w14:paraId="74869460" w14:textId="77777777" w:rsidR="00F227C0" w:rsidRPr="002C1FD9" w:rsidRDefault="00F227C0" w:rsidP="00F227C0">
            <w:pPr>
              <w:rPr>
                <w:rFonts w:asciiTheme="minorHAnsi" w:hAnsiTheme="minorHAnsi"/>
                <w:b/>
                <w:bCs/>
                <w:sz w:val="18"/>
                <w:szCs w:val="18"/>
              </w:rPr>
            </w:pPr>
          </w:p>
        </w:tc>
      </w:tr>
      <w:tr w:rsidR="002C1FD9" w:rsidRPr="002C1FD9" w14:paraId="48F19D55" w14:textId="77777777" w:rsidTr="00F227C0">
        <w:tc>
          <w:tcPr>
            <w:tcW w:w="440" w:type="dxa"/>
            <w:vMerge/>
          </w:tcPr>
          <w:p w14:paraId="187F57B8" w14:textId="77777777" w:rsidR="00F227C0" w:rsidRPr="002C1FD9" w:rsidRDefault="00F227C0" w:rsidP="00F227C0">
            <w:pPr>
              <w:rPr>
                <w:rFonts w:asciiTheme="minorHAnsi" w:hAnsiTheme="minorHAnsi"/>
                <w:b/>
                <w:bCs/>
                <w:sz w:val="18"/>
                <w:szCs w:val="18"/>
              </w:rPr>
            </w:pPr>
          </w:p>
        </w:tc>
        <w:tc>
          <w:tcPr>
            <w:tcW w:w="2416" w:type="dxa"/>
          </w:tcPr>
          <w:p w14:paraId="5429819C"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4A28D347"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CDBG General Administration</w:t>
            </w:r>
          </w:p>
        </w:tc>
      </w:tr>
      <w:tr w:rsidR="002C1FD9" w:rsidRPr="002C1FD9" w14:paraId="6CAC4046" w14:textId="77777777" w:rsidTr="00F227C0">
        <w:tc>
          <w:tcPr>
            <w:tcW w:w="440" w:type="dxa"/>
            <w:vMerge/>
          </w:tcPr>
          <w:p w14:paraId="54738AF4" w14:textId="77777777" w:rsidR="00F227C0" w:rsidRPr="002C1FD9" w:rsidRDefault="00F227C0" w:rsidP="00F227C0">
            <w:pPr>
              <w:rPr>
                <w:rFonts w:asciiTheme="minorHAnsi" w:hAnsiTheme="minorHAnsi"/>
                <w:b/>
                <w:bCs/>
                <w:sz w:val="18"/>
                <w:szCs w:val="18"/>
              </w:rPr>
            </w:pPr>
          </w:p>
        </w:tc>
        <w:tc>
          <w:tcPr>
            <w:tcW w:w="2416" w:type="dxa"/>
          </w:tcPr>
          <w:p w14:paraId="0AF586BA"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4C1D677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w:t>
            </w:r>
          </w:p>
        </w:tc>
      </w:tr>
      <w:tr w:rsidR="002C1FD9" w:rsidRPr="002C1FD9" w14:paraId="49200D8B" w14:textId="77777777" w:rsidTr="00F227C0">
        <w:trPr>
          <w:trHeight w:val="917"/>
        </w:trPr>
        <w:tc>
          <w:tcPr>
            <w:tcW w:w="440" w:type="dxa"/>
            <w:vMerge/>
          </w:tcPr>
          <w:p w14:paraId="46ABBD8F" w14:textId="77777777" w:rsidR="00F227C0" w:rsidRPr="002C1FD9" w:rsidRDefault="00F227C0" w:rsidP="00F227C0">
            <w:pPr>
              <w:rPr>
                <w:rFonts w:asciiTheme="minorHAnsi" w:hAnsiTheme="minorHAnsi"/>
                <w:b/>
                <w:bCs/>
                <w:sz w:val="18"/>
                <w:szCs w:val="18"/>
              </w:rPr>
            </w:pPr>
          </w:p>
        </w:tc>
        <w:tc>
          <w:tcPr>
            <w:tcW w:w="2416" w:type="dxa"/>
          </w:tcPr>
          <w:p w14:paraId="669ADA7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524A437E" w14:textId="77777777" w:rsidR="00F227C0" w:rsidRPr="002C1FD9" w:rsidRDefault="00F227C0" w:rsidP="00E76D77">
            <w:pPr>
              <w:rPr>
                <w:rFonts w:asciiTheme="minorHAnsi" w:hAnsiTheme="minorHAnsi"/>
                <w:sz w:val="18"/>
                <w:szCs w:val="18"/>
              </w:rPr>
            </w:pPr>
            <w:r w:rsidRPr="002C1FD9">
              <w:rPr>
                <w:rFonts w:asciiTheme="minorHAnsi" w:hAnsiTheme="minorHAnsi"/>
                <w:sz w:val="18"/>
                <w:szCs w:val="18"/>
              </w:rPr>
              <w:t>Preservation of existing affordable housing stock; Elimination of slum and blight conditions; Support the provision of public service activities; Provide quality services and facilities; Administer CDBG effectively and proficiently.</w:t>
            </w:r>
          </w:p>
        </w:tc>
      </w:tr>
      <w:tr w:rsidR="002C1FD9" w:rsidRPr="002C1FD9" w14:paraId="7E0B57CB" w14:textId="77777777" w:rsidTr="00F227C0">
        <w:tc>
          <w:tcPr>
            <w:tcW w:w="440" w:type="dxa"/>
            <w:vMerge/>
          </w:tcPr>
          <w:p w14:paraId="06BBA33E" w14:textId="77777777" w:rsidR="00F227C0" w:rsidRPr="002C1FD9" w:rsidRDefault="00F227C0" w:rsidP="00F227C0">
            <w:pPr>
              <w:rPr>
                <w:rFonts w:asciiTheme="minorHAnsi" w:hAnsiTheme="minorHAnsi"/>
                <w:b/>
                <w:bCs/>
                <w:sz w:val="18"/>
                <w:szCs w:val="18"/>
              </w:rPr>
            </w:pPr>
          </w:p>
        </w:tc>
        <w:tc>
          <w:tcPr>
            <w:tcW w:w="2416" w:type="dxa"/>
          </w:tcPr>
          <w:p w14:paraId="3AA5ADA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464FCBC1" w14:textId="77777777" w:rsidR="00F227C0" w:rsidRPr="002C1FD9" w:rsidRDefault="00F227C0" w:rsidP="00F227C0">
            <w:pPr>
              <w:rPr>
                <w:rFonts w:asciiTheme="minorHAnsi" w:hAnsiTheme="minorHAnsi"/>
                <w:sz w:val="18"/>
                <w:szCs w:val="18"/>
              </w:rPr>
            </w:pPr>
          </w:p>
        </w:tc>
      </w:tr>
      <w:tr w:rsidR="002C1FD9" w:rsidRPr="002C1FD9" w14:paraId="5252B7E9" w14:textId="77777777" w:rsidTr="00F227C0">
        <w:tc>
          <w:tcPr>
            <w:tcW w:w="440" w:type="dxa"/>
            <w:vMerge/>
          </w:tcPr>
          <w:p w14:paraId="5C8C6B09" w14:textId="77777777" w:rsidR="00F227C0" w:rsidRPr="002C1FD9" w:rsidRDefault="00F227C0" w:rsidP="00F227C0">
            <w:pPr>
              <w:rPr>
                <w:rFonts w:asciiTheme="minorHAnsi" w:hAnsiTheme="minorHAnsi"/>
                <w:b/>
                <w:bCs/>
                <w:sz w:val="18"/>
                <w:szCs w:val="18"/>
              </w:rPr>
            </w:pPr>
          </w:p>
        </w:tc>
        <w:tc>
          <w:tcPr>
            <w:tcW w:w="2416" w:type="dxa"/>
          </w:tcPr>
          <w:p w14:paraId="3CC13D3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03FC53FD"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$11,000</w:t>
            </w:r>
          </w:p>
        </w:tc>
      </w:tr>
      <w:tr w:rsidR="002C1FD9" w:rsidRPr="002C1FD9" w14:paraId="106173FB" w14:textId="77777777" w:rsidTr="00F227C0">
        <w:tc>
          <w:tcPr>
            <w:tcW w:w="440" w:type="dxa"/>
            <w:vMerge/>
          </w:tcPr>
          <w:p w14:paraId="3382A365" w14:textId="77777777" w:rsidR="00F227C0" w:rsidRPr="002C1FD9" w:rsidRDefault="00F227C0" w:rsidP="00F227C0">
            <w:pPr>
              <w:rPr>
                <w:rFonts w:asciiTheme="minorHAnsi" w:hAnsiTheme="minorHAnsi"/>
                <w:b/>
                <w:bCs/>
                <w:sz w:val="18"/>
                <w:szCs w:val="18"/>
              </w:rPr>
            </w:pPr>
          </w:p>
        </w:tc>
        <w:tc>
          <w:tcPr>
            <w:tcW w:w="2416" w:type="dxa"/>
          </w:tcPr>
          <w:p w14:paraId="6CEB3F03"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4A35DE6F"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 xml:space="preserve">This project will support general administration of the CDBG program throughout this Annual Action Plan. Expenses may include but not be limited </w:t>
            </w:r>
            <w:r w:rsidR="00067151" w:rsidRPr="002C1FD9">
              <w:rPr>
                <w:rFonts w:asciiTheme="minorHAnsi" w:hAnsiTheme="minorHAnsi"/>
                <w:sz w:val="18"/>
                <w:szCs w:val="18"/>
              </w:rPr>
              <w:t>to</w:t>
            </w:r>
            <w:r w:rsidRPr="002C1FD9">
              <w:rPr>
                <w:rFonts w:asciiTheme="minorHAnsi" w:hAnsiTheme="minorHAnsi"/>
                <w:sz w:val="18"/>
                <w:szCs w:val="18"/>
              </w:rPr>
              <w:t xml:space="preserve"> staff expenses, postage, office supplies, grants management software, advertising and postage.</w:t>
            </w:r>
          </w:p>
        </w:tc>
      </w:tr>
      <w:tr w:rsidR="002C1FD9" w:rsidRPr="002C1FD9" w14:paraId="7917A83F" w14:textId="77777777" w:rsidTr="00F227C0">
        <w:tc>
          <w:tcPr>
            <w:tcW w:w="440" w:type="dxa"/>
            <w:vMerge/>
          </w:tcPr>
          <w:p w14:paraId="5C71F136" w14:textId="77777777" w:rsidR="00F227C0" w:rsidRPr="002C1FD9" w:rsidRDefault="00F227C0" w:rsidP="00F227C0">
            <w:pPr>
              <w:rPr>
                <w:rFonts w:asciiTheme="minorHAnsi" w:hAnsiTheme="minorHAnsi"/>
                <w:b/>
                <w:bCs/>
                <w:sz w:val="18"/>
                <w:szCs w:val="18"/>
              </w:rPr>
            </w:pPr>
          </w:p>
        </w:tc>
        <w:tc>
          <w:tcPr>
            <w:tcW w:w="2416" w:type="dxa"/>
          </w:tcPr>
          <w:p w14:paraId="5A2556E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6E0A123"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70684920" w14:textId="77777777" w:rsidTr="00F227C0">
        <w:tc>
          <w:tcPr>
            <w:tcW w:w="440" w:type="dxa"/>
            <w:vMerge/>
          </w:tcPr>
          <w:p w14:paraId="62199465" w14:textId="77777777" w:rsidR="00F227C0" w:rsidRPr="002C1FD9" w:rsidRDefault="00F227C0" w:rsidP="00F227C0">
            <w:pPr>
              <w:rPr>
                <w:rFonts w:asciiTheme="minorHAnsi" w:hAnsiTheme="minorHAnsi"/>
                <w:b/>
                <w:bCs/>
                <w:sz w:val="18"/>
                <w:szCs w:val="18"/>
              </w:rPr>
            </w:pPr>
          </w:p>
        </w:tc>
        <w:tc>
          <w:tcPr>
            <w:tcW w:w="2416" w:type="dxa"/>
          </w:tcPr>
          <w:p w14:paraId="1CCCA08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09FF3C20"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Program beneficiaries will be reported under other projects.</w:t>
            </w:r>
          </w:p>
        </w:tc>
      </w:tr>
      <w:tr w:rsidR="002C1FD9" w:rsidRPr="002C1FD9" w14:paraId="0DBC5018" w14:textId="77777777" w:rsidTr="00F227C0">
        <w:tc>
          <w:tcPr>
            <w:tcW w:w="440" w:type="dxa"/>
            <w:vMerge/>
          </w:tcPr>
          <w:p w14:paraId="0DA123B1" w14:textId="77777777" w:rsidR="00F227C0" w:rsidRPr="002C1FD9" w:rsidRDefault="00F227C0" w:rsidP="00F227C0">
            <w:pPr>
              <w:rPr>
                <w:rFonts w:asciiTheme="minorHAnsi" w:hAnsiTheme="minorHAnsi"/>
                <w:b/>
                <w:bCs/>
                <w:sz w:val="18"/>
                <w:szCs w:val="18"/>
              </w:rPr>
            </w:pPr>
          </w:p>
        </w:tc>
        <w:tc>
          <w:tcPr>
            <w:tcW w:w="2416" w:type="dxa"/>
          </w:tcPr>
          <w:p w14:paraId="6532F7E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71C9EAB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Administrative activities will occur within the Community Development Department, located at 115 E. Washington St., Bloomington, IL</w:t>
            </w:r>
          </w:p>
        </w:tc>
      </w:tr>
      <w:tr w:rsidR="002C1FD9" w:rsidRPr="002C1FD9" w14:paraId="7E3275AE" w14:textId="77777777" w:rsidTr="00F227C0">
        <w:tc>
          <w:tcPr>
            <w:tcW w:w="440" w:type="dxa"/>
            <w:vMerge/>
          </w:tcPr>
          <w:p w14:paraId="4C4CEA3D" w14:textId="77777777" w:rsidR="00F227C0" w:rsidRPr="002C1FD9" w:rsidRDefault="00F227C0" w:rsidP="00F227C0">
            <w:pPr>
              <w:rPr>
                <w:rFonts w:asciiTheme="minorHAnsi" w:hAnsiTheme="minorHAnsi"/>
                <w:b/>
                <w:bCs/>
                <w:sz w:val="18"/>
                <w:szCs w:val="18"/>
              </w:rPr>
            </w:pPr>
          </w:p>
        </w:tc>
        <w:tc>
          <w:tcPr>
            <w:tcW w:w="2416" w:type="dxa"/>
          </w:tcPr>
          <w:p w14:paraId="28AC735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2482CF8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Grant administration will be the only activity under this project.</w:t>
            </w:r>
          </w:p>
        </w:tc>
      </w:tr>
      <w:tr w:rsidR="002C1FD9" w:rsidRPr="002C1FD9" w14:paraId="50895670" w14:textId="77777777" w:rsidTr="00F227C0">
        <w:tc>
          <w:tcPr>
            <w:tcW w:w="440" w:type="dxa"/>
            <w:vMerge/>
          </w:tcPr>
          <w:p w14:paraId="38C1F859" w14:textId="77777777" w:rsidR="00F227C0" w:rsidRPr="002C1FD9" w:rsidRDefault="00F227C0" w:rsidP="00F227C0">
            <w:pPr>
              <w:rPr>
                <w:rFonts w:asciiTheme="minorHAnsi" w:hAnsiTheme="minorHAnsi"/>
                <w:b/>
                <w:bCs/>
                <w:sz w:val="18"/>
                <w:szCs w:val="18"/>
              </w:rPr>
            </w:pPr>
          </w:p>
        </w:tc>
        <w:tc>
          <w:tcPr>
            <w:tcW w:w="2416" w:type="dxa"/>
          </w:tcPr>
          <w:p w14:paraId="0C8FE7CE" w14:textId="77777777" w:rsidR="00F227C0" w:rsidRPr="002C1FD9" w:rsidRDefault="00F227C0" w:rsidP="00F227C0">
            <w:pPr>
              <w:rPr>
                <w:rFonts w:asciiTheme="minorHAnsi" w:hAnsiTheme="minorHAnsi"/>
                <w:b/>
                <w:bCs/>
                <w:sz w:val="18"/>
                <w:szCs w:val="18"/>
              </w:rPr>
            </w:pPr>
          </w:p>
        </w:tc>
        <w:tc>
          <w:tcPr>
            <w:tcW w:w="6494" w:type="dxa"/>
          </w:tcPr>
          <w:p w14:paraId="41004F19" w14:textId="77777777" w:rsidR="00F227C0" w:rsidRPr="002C1FD9" w:rsidRDefault="00F227C0" w:rsidP="00F227C0">
            <w:pPr>
              <w:rPr>
                <w:rFonts w:asciiTheme="minorHAnsi" w:hAnsiTheme="minorHAnsi"/>
                <w:b/>
                <w:bCs/>
                <w:sz w:val="18"/>
                <w:szCs w:val="18"/>
              </w:rPr>
            </w:pPr>
          </w:p>
        </w:tc>
      </w:tr>
      <w:tr w:rsidR="002C1FD9" w:rsidRPr="002C1FD9" w14:paraId="446DE71A" w14:textId="77777777" w:rsidTr="00F227C0">
        <w:tc>
          <w:tcPr>
            <w:tcW w:w="440" w:type="dxa"/>
            <w:vMerge w:val="restart"/>
          </w:tcPr>
          <w:p w14:paraId="3E1FE5D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10</w:t>
            </w:r>
          </w:p>
        </w:tc>
        <w:tc>
          <w:tcPr>
            <w:tcW w:w="2416" w:type="dxa"/>
          </w:tcPr>
          <w:p w14:paraId="67C0C651" w14:textId="77777777" w:rsidR="00F227C0" w:rsidRPr="002C1FD9" w:rsidRDefault="00F227C0" w:rsidP="00F227C0">
            <w:pPr>
              <w:rPr>
                <w:rFonts w:asciiTheme="minorHAnsi" w:hAnsiTheme="minorHAnsi"/>
                <w:b/>
                <w:bCs/>
                <w:sz w:val="18"/>
                <w:szCs w:val="18"/>
              </w:rPr>
            </w:pPr>
          </w:p>
        </w:tc>
        <w:tc>
          <w:tcPr>
            <w:tcW w:w="6494" w:type="dxa"/>
          </w:tcPr>
          <w:p w14:paraId="308D56CC" w14:textId="77777777" w:rsidR="00F227C0" w:rsidRPr="002C1FD9" w:rsidRDefault="00F227C0" w:rsidP="00F227C0">
            <w:pPr>
              <w:rPr>
                <w:rFonts w:asciiTheme="minorHAnsi" w:hAnsiTheme="minorHAnsi"/>
                <w:b/>
                <w:bCs/>
                <w:sz w:val="18"/>
                <w:szCs w:val="18"/>
              </w:rPr>
            </w:pPr>
          </w:p>
        </w:tc>
      </w:tr>
      <w:tr w:rsidR="002C1FD9" w:rsidRPr="002C1FD9" w14:paraId="569A6B1F" w14:textId="77777777" w:rsidTr="00F227C0">
        <w:tc>
          <w:tcPr>
            <w:tcW w:w="440" w:type="dxa"/>
            <w:vMerge/>
          </w:tcPr>
          <w:p w14:paraId="797E50C6" w14:textId="77777777" w:rsidR="00F227C0" w:rsidRPr="002C1FD9" w:rsidRDefault="00F227C0" w:rsidP="00F227C0">
            <w:pPr>
              <w:rPr>
                <w:rFonts w:asciiTheme="minorHAnsi" w:hAnsiTheme="minorHAnsi"/>
                <w:b/>
                <w:bCs/>
                <w:sz w:val="18"/>
                <w:szCs w:val="18"/>
              </w:rPr>
            </w:pPr>
          </w:p>
        </w:tc>
        <w:tc>
          <w:tcPr>
            <w:tcW w:w="2416" w:type="dxa"/>
          </w:tcPr>
          <w:p w14:paraId="16E16A0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02F331E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CDBG Administrative Programs</w:t>
            </w:r>
          </w:p>
        </w:tc>
      </w:tr>
      <w:tr w:rsidR="002C1FD9" w:rsidRPr="002C1FD9" w14:paraId="693BB3D7" w14:textId="77777777" w:rsidTr="00F227C0">
        <w:tc>
          <w:tcPr>
            <w:tcW w:w="440" w:type="dxa"/>
            <w:vMerge/>
          </w:tcPr>
          <w:p w14:paraId="7B04FA47" w14:textId="77777777" w:rsidR="00F227C0" w:rsidRPr="002C1FD9" w:rsidRDefault="00F227C0" w:rsidP="00F227C0">
            <w:pPr>
              <w:rPr>
                <w:rFonts w:asciiTheme="minorHAnsi" w:hAnsiTheme="minorHAnsi"/>
                <w:b/>
                <w:bCs/>
                <w:sz w:val="18"/>
                <w:szCs w:val="18"/>
              </w:rPr>
            </w:pPr>
          </w:p>
        </w:tc>
        <w:tc>
          <w:tcPr>
            <w:tcW w:w="2416" w:type="dxa"/>
          </w:tcPr>
          <w:p w14:paraId="0357F4C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1A2C1CD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 LMA Preservation Area</w:t>
            </w:r>
          </w:p>
        </w:tc>
      </w:tr>
      <w:tr w:rsidR="002C1FD9" w:rsidRPr="002C1FD9" w14:paraId="7518EC17" w14:textId="77777777" w:rsidTr="00F227C0">
        <w:tc>
          <w:tcPr>
            <w:tcW w:w="440" w:type="dxa"/>
            <w:vMerge/>
          </w:tcPr>
          <w:p w14:paraId="568C698B" w14:textId="77777777" w:rsidR="00F227C0" w:rsidRPr="002C1FD9" w:rsidRDefault="00F227C0" w:rsidP="00F227C0">
            <w:pPr>
              <w:rPr>
                <w:rFonts w:asciiTheme="minorHAnsi" w:hAnsiTheme="minorHAnsi"/>
                <w:b/>
                <w:bCs/>
                <w:sz w:val="18"/>
                <w:szCs w:val="18"/>
              </w:rPr>
            </w:pPr>
          </w:p>
        </w:tc>
        <w:tc>
          <w:tcPr>
            <w:tcW w:w="2416" w:type="dxa"/>
          </w:tcPr>
          <w:p w14:paraId="0046262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40666C9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Administer CDBG effectively and proficiently.</w:t>
            </w:r>
          </w:p>
        </w:tc>
      </w:tr>
      <w:tr w:rsidR="002C1FD9" w:rsidRPr="002C1FD9" w14:paraId="68F992DC" w14:textId="77777777" w:rsidTr="00F227C0">
        <w:tc>
          <w:tcPr>
            <w:tcW w:w="440" w:type="dxa"/>
            <w:vMerge/>
          </w:tcPr>
          <w:p w14:paraId="1A939487" w14:textId="77777777" w:rsidR="00F227C0" w:rsidRPr="002C1FD9" w:rsidRDefault="00F227C0" w:rsidP="00F227C0">
            <w:pPr>
              <w:rPr>
                <w:rFonts w:asciiTheme="minorHAnsi" w:hAnsiTheme="minorHAnsi"/>
                <w:b/>
                <w:bCs/>
                <w:sz w:val="18"/>
                <w:szCs w:val="18"/>
              </w:rPr>
            </w:pPr>
          </w:p>
        </w:tc>
        <w:tc>
          <w:tcPr>
            <w:tcW w:w="2416" w:type="dxa"/>
          </w:tcPr>
          <w:p w14:paraId="2DF7B150"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12A62A57"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Job Training and Workforce Development; Housing Discrimination Services</w:t>
            </w:r>
          </w:p>
        </w:tc>
      </w:tr>
      <w:tr w:rsidR="002C1FD9" w:rsidRPr="002C1FD9" w14:paraId="761E2515" w14:textId="77777777" w:rsidTr="00F227C0">
        <w:tc>
          <w:tcPr>
            <w:tcW w:w="440" w:type="dxa"/>
            <w:vMerge/>
          </w:tcPr>
          <w:p w14:paraId="6AA258D8" w14:textId="77777777" w:rsidR="00F227C0" w:rsidRPr="002C1FD9" w:rsidRDefault="00F227C0" w:rsidP="00F227C0">
            <w:pPr>
              <w:rPr>
                <w:rFonts w:asciiTheme="minorHAnsi" w:hAnsiTheme="minorHAnsi"/>
                <w:b/>
                <w:bCs/>
                <w:sz w:val="18"/>
                <w:szCs w:val="18"/>
              </w:rPr>
            </w:pPr>
          </w:p>
        </w:tc>
        <w:tc>
          <w:tcPr>
            <w:tcW w:w="2416" w:type="dxa"/>
          </w:tcPr>
          <w:p w14:paraId="0AC1E18F"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381B5941"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$25,000</w:t>
            </w:r>
          </w:p>
        </w:tc>
      </w:tr>
      <w:tr w:rsidR="002C1FD9" w:rsidRPr="002C1FD9" w14:paraId="4F9BFD64" w14:textId="77777777" w:rsidTr="00F227C0">
        <w:tc>
          <w:tcPr>
            <w:tcW w:w="440" w:type="dxa"/>
            <w:vMerge/>
          </w:tcPr>
          <w:p w14:paraId="6FFBD3EC" w14:textId="77777777" w:rsidR="00F227C0" w:rsidRPr="002C1FD9" w:rsidRDefault="00F227C0" w:rsidP="00F227C0">
            <w:pPr>
              <w:rPr>
                <w:rFonts w:asciiTheme="minorHAnsi" w:hAnsiTheme="minorHAnsi"/>
                <w:b/>
                <w:bCs/>
                <w:sz w:val="18"/>
                <w:szCs w:val="18"/>
              </w:rPr>
            </w:pPr>
          </w:p>
        </w:tc>
        <w:tc>
          <w:tcPr>
            <w:tcW w:w="2416" w:type="dxa"/>
          </w:tcPr>
          <w:p w14:paraId="17BFC678"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1F0516BD"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programs addressing administrative requirements of the CDBG program such as fair housing and Section 3 training.</w:t>
            </w:r>
          </w:p>
        </w:tc>
      </w:tr>
      <w:tr w:rsidR="002C1FD9" w:rsidRPr="002C1FD9" w14:paraId="59ACDABF" w14:textId="77777777" w:rsidTr="00F227C0">
        <w:tc>
          <w:tcPr>
            <w:tcW w:w="440" w:type="dxa"/>
            <w:vMerge/>
          </w:tcPr>
          <w:p w14:paraId="30DCCCAD" w14:textId="77777777" w:rsidR="00F227C0" w:rsidRPr="002C1FD9" w:rsidRDefault="00F227C0" w:rsidP="00F227C0">
            <w:pPr>
              <w:rPr>
                <w:rFonts w:asciiTheme="minorHAnsi" w:hAnsiTheme="minorHAnsi"/>
                <w:b/>
                <w:bCs/>
                <w:sz w:val="18"/>
                <w:szCs w:val="18"/>
              </w:rPr>
            </w:pPr>
          </w:p>
        </w:tc>
        <w:tc>
          <w:tcPr>
            <w:tcW w:w="2416" w:type="dxa"/>
          </w:tcPr>
          <w:p w14:paraId="2DA59294"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1FB051D4"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6BD9DF5D" w14:textId="77777777" w:rsidTr="00F227C0">
        <w:tc>
          <w:tcPr>
            <w:tcW w:w="440" w:type="dxa"/>
            <w:vMerge/>
          </w:tcPr>
          <w:p w14:paraId="36AF6883" w14:textId="77777777" w:rsidR="00F227C0" w:rsidRPr="002C1FD9" w:rsidRDefault="00F227C0" w:rsidP="00F227C0">
            <w:pPr>
              <w:rPr>
                <w:rFonts w:asciiTheme="minorHAnsi" w:hAnsiTheme="minorHAnsi"/>
                <w:b/>
                <w:bCs/>
                <w:sz w:val="18"/>
                <w:szCs w:val="18"/>
              </w:rPr>
            </w:pPr>
          </w:p>
        </w:tc>
        <w:tc>
          <w:tcPr>
            <w:tcW w:w="2416" w:type="dxa"/>
          </w:tcPr>
          <w:p w14:paraId="1E360F8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0D8A9519"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activities benefiting 42 low- and moderate-income residents.  The majority will be renters.</w:t>
            </w:r>
          </w:p>
        </w:tc>
      </w:tr>
      <w:tr w:rsidR="002C1FD9" w:rsidRPr="002C1FD9" w14:paraId="093CB4F4" w14:textId="77777777" w:rsidTr="00F227C0">
        <w:tc>
          <w:tcPr>
            <w:tcW w:w="440" w:type="dxa"/>
            <w:vMerge/>
          </w:tcPr>
          <w:p w14:paraId="54C529ED" w14:textId="77777777" w:rsidR="00F227C0" w:rsidRPr="002C1FD9" w:rsidRDefault="00F227C0" w:rsidP="00F227C0">
            <w:pPr>
              <w:rPr>
                <w:rFonts w:asciiTheme="minorHAnsi" w:hAnsiTheme="minorHAnsi"/>
                <w:b/>
                <w:bCs/>
                <w:sz w:val="18"/>
                <w:szCs w:val="18"/>
              </w:rPr>
            </w:pPr>
          </w:p>
        </w:tc>
        <w:tc>
          <w:tcPr>
            <w:tcW w:w="2416" w:type="dxa"/>
          </w:tcPr>
          <w:p w14:paraId="4564CCC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722A8643"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 xml:space="preserve">Planning is underway for Section 3 training </w:t>
            </w:r>
            <w:r w:rsidR="00067151" w:rsidRPr="002C1FD9">
              <w:rPr>
                <w:rFonts w:asciiTheme="minorHAnsi" w:hAnsiTheme="minorHAnsi"/>
                <w:sz w:val="18"/>
                <w:szCs w:val="18"/>
              </w:rPr>
              <w:t>opportunities</w:t>
            </w:r>
            <w:r w:rsidRPr="002C1FD9">
              <w:rPr>
                <w:rFonts w:asciiTheme="minorHAnsi" w:hAnsiTheme="minorHAnsi"/>
                <w:sz w:val="18"/>
                <w:szCs w:val="18"/>
              </w:rPr>
              <w:t xml:space="preserve"> for public housing residents.  Fair housing services will be offered through Prairie State Legal Services' Bloomington office at 201 W. Olive St.</w:t>
            </w:r>
          </w:p>
        </w:tc>
      </w:tr>
      <w:tr w:rsidR="002C1FD9" w:rsidRPr="002C1FD9" w14:paraId="2D35F1AC" w14:textId="77777777" w:rsidTr="00F227C0">
        <w:tc>
          <w:tcPr>
            <w:tcW w:w="440" w:type="dxa"/>
            <w:vMerge/>
          </w:tcPr>
          <w:p w14:paraId="1C0157D6" w14:textId="77777777" w:rsidR="00F227C0" w:rsidRPr="002C1FD9" w:rsidRDefault="00F227C0" w:rsidP="00F227C0">
            <w:pPr>
              <w:rPr>
                <w:rFonts w:asciiTheme="minorHAnsi" w:hAnsiTheme="minorHAnsi"/>
                <w:b/>
                <w:bCs/>
                <w:sz w:val="18"/>
                <w:szCs w:val="18"/>
              </w:rPr>
            </w:pPr>
          </w:p>
        </w:tc>
        <w:tc>
          <w:tcPr>
            <w:tcW w:w="2416" w:type="dxa"/>
          </w:tcPr>
          <w:p w14:paraId="159B4B21" w14:textId="77777777" w:rsidR="00F227C0" w:rsidRPr="002C1FD9" w:rsidRDefault="00F227C0" w:rsidP="00F227C0">
            <w:pPr>
              <w:rPr>
                <w:rFonts w:asciiTheme="minorHAnsi" w:hAnsiTheme="minorHAnsi"/>
                <w:b/>
                <w:bCs/>
                <w:sz w:val="18"/>
                <w:szCs w:val="18"/>
                <w:highlight w:val="yellow"/>
              </w:rPr>
            </w:pPr>
            <w:r w:rsidRPr="002C1FD9">
              <w:rPr>
                <w:rFonts w:asciiTheme="minorHAnsi" w:hAnsiTheme="minorHAnsi"/>
                <w:b/>
                <w:bCs/>
                <w:sz w:val="18"/>
                <w:szCs w:val="18"/>
              </w:rPr>
              <w:t>Planned Activities</w:t>
            </w:r>
          </w:p>
        </w:tc>
        <w:tc>
          <w:tcPr>
            <w:tcW w:w="6494" w:type="dxa"/>
          </w:tcPr>
          <w:p w14:paraId="3BCF4CB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 xml:space="preserve">The City will partner with the Bloomington Housing Authority to offer a series of job-and life-skills training opportunities and a job fair for public housing and Housing Choice Voucher Program participants.   Prairie State Legal Services will be the lead agency on a fair housing program, which will include a housing </w:t>
            </w:r>
            <w:r w:rsidR="00067151" w:rsidRPr="002C1FD9">
              <w:rPr>
                <w:rFonts w:asciiTheme="minorHAnsi" w:hAnsiTheme="minorHAnsi"/>
                <w:sz w:val="18"/>
                <w:szCs w:val="18"/>
              </w:rPr>
              <w:t>discrimination</w:t>
            </w:r>
            <w:r w:rsidRPr="002C1FD9">
              <w:rPr>
                <w:rFonts w:asciiTheme="minorHAnsi" w:hAnsiTheme="minorHAnsi"/>
                <w:sz w:val="18"/>
                <w:szCs w:val="18"/>
              </w:rPr>
              <w:t xml:space="preserve"> testing program.  </w:t>
            </w:r>
          </w:p>
        </w:tc>
      </w:tr>
      <w:tr w:rsidR="002C1FD9" w:rsidRPr="002C1FD9" w14:paraId="3691E7B2" w14:textId="77777777" w:rsidTr="00F227C0">
        <w:tc>
          <w:tcPr>
            <w:tcW w:w="440" w:type="dxa"/>
            <w:vMerge/>
          </w:tcPr>
          <w:p w14:paraId="526770CE" w14:textId="77777777" w:rsidR="00F227C0" w:rsidRPr="002C1FD9" w:rsidRDefault="00F227C0" w:rsidP="00F227C0">
            <w:pPr>
              <w:rPr>
                <w:rFonts w:asciiTheme="minorHAnsi" w:hAnsiTheme="minorHAnsi"/>
                <w:b/>
                <w:bCs/>
                <w:sz w:val="18"/>
                <w:szCs w:val="18"/>
              </w:rPr>
            </w:pPr>
          </w:p>
        </w:tc>
        <w:tc>
          <w:tcPr>
            <w:tcW w:w="2416" w:type="dxa"/>
          </w:tcPr>
          <w:p w14:paraId="7CBEED82" w14:textId="77777777" w:rsidR="00F227C0" w:rsidRPr="002C1FD9" w:rsidRDefault="00F227C0" w:rsidP="00F227C0">
            <w:pPr>
              <w:rPr>
                <w:rFonts w:asciiTheme="minorHAnsi" w:hAnsiTheme="minorHAnsi"/>
                <w:b/>
                <w:bCs/>
                <w:sz w:val="18"/>
                <w:szCs w:val="18"/>
              </w:rPr>
            </w:pPr>
          </w:p>
        </w:tc>
        <w:tc>
          <w:tcPr>
            <w:tcW w:w="6494" w:type="dxa"/>
          </w:tcPr>
          <w:p w14:paraId="6E36661F" w14:textId="77777777" w:rsidR="00F227C0" w:rsidRPr="002C1FD9" w:rsidRDefault="00F227C0" w:rsidP="00F227C0">
            <w:pPr>
              <w:rPr>
                <w:rFonts w:asciiTheme="minorHAnsi" w:hAnsiTheme="minorHAnsi"/>
                <w:b/>
                <w:bCs/>
                <w:sz w:val="18"/>
                <w:szCs w:val="18"/>
              </w:rPr>
            </w:pPr>
          </w:p>
        </w:tc>
      </w:tr>
      <w:tr w:rsidR="002C1FD9" w:rsidRPr="002C1FD9" w14:paraId="735DA4F4" w14:textId="77777777" w:rsidTr="00F227C0">
        <w:tc>
          <w:tcPr>
            <w:tcW w:w="440" w:type="dxa"/>
            <w:vMerge w:val="restart"/>
          </w:tcPr>
          <w:p w14:paraId="7A622172"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11</w:t>
            </w:r>
          </w:p>
        </w:tc>
        <w:tc>
          <w:tcPr>
            <w:tcW w:w="2416" w:type="dxa"/>
          </w:tcPr>
          <w:p w14:paraId="38645DC7" w14:textId="77777777" w:rsidR="00F227C0" w:rsidRPr="002C1FD9" w:rsidRDefault="00F227C0" w:rsidP="00F227C0">
            <w:pPr>
              <w:rPr>
                <w:rFonts w:asciiTheme="minorHAnsi" w:hAnsiTheme="minorHAnsi"/>
                <w:b/>
                <w:bCs/>
                <w:sz w:val="18"/>
                <w:szCs w:val="18"/>
              </w:rPr>
            </w:pPr>
          </w:p>
        </w:tc>
        <w:tc>
          <w:tcPr>
            <w:tcW w:w="6494" w:type="dxa"/>
          </w:tcPr>
          <w:p w14:paraId="135E58C4" w14:textId="77777777" w:rsidR="00F227C0" w:rsidRPr="002C1FD9" w:rsidRDefault="00F227C0" w:rsidP="00F227C0">
            <w:pPr>
              <w:rPr>
                <w:rFonts w:asciiTheme="minorHAnsi" w:hAnsiTheme="minorHAnsi"/>
                <w:b/>
                <w:bCs/>
                <w:sz w:val="18"/>
                <w:szCs w:val="18"/>
              </w:rPr>
            </w:pPr>
          </w:p>
        </w:tc>
      </w:tr>
      <w:tr w:rsidR="002C1FD9" w:rsidRPr="002C1FD9" w14:paraId="7E6A1ADA" w14:textId="77777777" w:rsidTr="00F227C0">
        <w:tc>
          <w:tcPr>
            <w:tcW w:w="440" w:type="dxa"/>
            <w:vMerge/>
          </w:tcPr>
          <w:p w14:paraId="62EBF9A1" w14:textId="77777777" w:rsidR="00F227C0" w:rsidRPr="002C1FD9" w:rsidRDefault="00F227C0" w:rsidP="00F227C0">
            <w:pPr>
              <w:rPr>
                <w:rFonts w:asciiTheme="minorHAnsi" w:hAnsiTheme="minorHAnsi"/>
                <w:b/>
                <w:bCs/>
                <w:sz w:val="18"/>
                <w:szCs w:val="18"/>
              </w:rPr>
            </w:pPr>
          </w:p>
        </w:tc>
        <w:tc>
          <w:tcPr>
            <w:tcW w:w="2416" w:type="dxa"/>
          </w:tcPr>
          <w:p w14:paraId="0917340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1438C27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CDBG Planning</w:t>
            </w:r>
          </w:p>
        </w:tc>
      </w:tr>
      <w:tr w:rsidR="002C1FD9" w:rsidRPr="002C1FD9" w14:paraId="0E235160" w14:textId="77777777" w:rsidTr="00F227C0">
        <w:tc>
          <w:tcPr>
            <w:tcW w:w="440" w:type="dxa"/>
            <w:vMerge/>
          </w:tcPr>
          <w:p w14:paraId="0C6C2CD5" w14:textId="77777777" w:rsidR="00F227C0" w:rsidRPr="002C1FD9" w:rsidRDefault="00F227C0" w:rsidP="00F227C0">
            <w:pPr>
              <w:rPr>
                <w:rFonts w:asciiTheme="minorHAnsi" w:hAnsiTheme="minorHAnsi"/>
                <w:b/>
                <w:bCs/>
                <w:sz w:val="18"/>
                <w:szCs w:val="18"/>
              </w:rPr>
            </w:pPr>
          </w:p>
        </w:tc>
        <w:tc>
          <w:tcPr>
            <w:tcW w:w="2416" w:type="dxa"/>
          </w:tcPr>
          <w:p w14:paraId="34684E4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6B3240E4"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LMA Regeneration Area - Outside WBRP; WBRP Service Area; LMA Preservation Area</w:t>
            </w:r>
          </w:p>
        </w:tc>
      </w:tr>
      <w:tr w:rsidR="002C1FD9" w:rsidRPr="002C1FD9" w14:paraId="6704CDD0" w14:textId="77777777" w:rsidTr="00F227C0">
        <w:tc>
          <w:tcPr>
            <w:tcW w:w="440" w:type="dxa"/>
            <w:vMerge/>
          </w:tcPr>
          <w:p w14:paraId="709E88E4" w14:textId="77777777" w:rsidR="00F227C0" w:rsidRPr="002C1FD9" w:rsidRDefault="00F227C0" w:rsidP="00F227C0">
            <w:pPr>
              <w:rPr>
                <w:rFonts w:asciiTheme="minorHAnsi" w:hAnsiTheme="minorHAnsi"/>
                <w:b/>
                <w:bCs/>
                <w:sz w:val="18"/>
                <w:szCs w:val="18"/>
              </w:rPr>
            </w:pPr>
          </w:p>
        </w:tc>
        <w:tc>
          <w:tcPr>
            <w:tcW w:w="2416" w:type="dxa"/>
          </w:tcPr>
          <w:p w14:paraId="3EC78F2B"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214A647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Preservation of existing affordable housing stock.</w:t>
            </w:r>
          </w:p>
        </w:tc>
      </w:tr>
      <w:tr w:rsidR="002C1FD9" w:rsidRPr="002C1FD9" w14:paraId="66BA2654" w14:textId="77777777" w:rsidTr="00F227C0">
        <w:tc>
          <w:tcPr>
            <w:tcW w:w="440" w:type="dxa"/>
            <w:vMerge/>
          </w:tcPr>
          <w:p w14:paraId="508C98E9" w14:textId="77777777" w:rsidR="00F227C0" w:rsidRPr="002C1FD9" w:rsidRDefault="00F227C0" w:rsidP="00F227C0">
            <w:pPr>
              <w:rPr>
                <w:rFonts w:asciiTheme="minorHAnsi" w:hAnsiTheme="minorHAnsi"/>
                <w:b/>
                <w:bCs/>
                <w:sz w:val="18"/>
                <w:szCs w:val="18"/>
              </w:rPr>
            </w:pPr>
          </w:p>
        </w:tc>
        <w:tc>
          <w:tcPr>
            <w:tcW w:w="2416" w:type="dxa"/>
          </w:tcPr>
          <w:p w14:paraId="10843D6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6D49512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Affordable Housing Preservation</w:t>
            </w:r>
          </w:p>
        </w:tc>
      </w:tr>
      <w:tr w:rsidR="002C1FD9" w:rsidRPr="002C1FD9" w14:paraId="4A1199F9" w14:textId="77777777" w:rsidTr="00F227C0">
        <w:tc>
          <w:tcPr>
            <w:tcW w:w="440" w:type="dxa"/>
            <w:vMerge/>
          </w:tcPr>
          <w:p w14:paraId="779F8E76" w14:textId="77777777" w:rsidR="00F227C0" w:rsidRPr="002C1FD9" w:rsidRDefault="00F227C0" w:rsidP="00F227C0">
            <w:pPr>
              <w:rPr>
                <w:rFonts w:asciiTheme="minorHAnsi" w:hAnsiTheme="minorHAnsi"/>
                <w:b/>
                <w:bCs/>
                <w:sz w:val="18"/>
                <w:szCs w:val="18"/>
              </w:rPr>
            </w:pPr>
          </w:p>
        </w:tc>
        <w:tc>
          <w:tcPr>
            <w:tcW w:w="2416" w:type="dxa"/>
          </w:tcPr>
          <w:p w14:paraId="5DD7D5A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Funding</w:t>
            </w:r>
          </w:p>
        </w:tc>
        <w:tc>
          <w:tcPr>
            <w:tcW w:w="6494" w:type="dxa"/>
          </w:tcPr>
          <w:p w14:paraId="79F5FC46"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$30,000</w:t>
            </w:r>
          </w:p>
        </w:tc>
      </w:tr>
      <w:tr w:rsidR="002C1FD9" w:rsidRPr="002C1FD9" w14:paraId="63B35485" w14:textId="77777777" w:rsidTr="00F227C0">
        <w:tc>
          <w:tcPr>
            <w:tcW w:w="440" w:type="dxa"/>
            <w:vMerge/>
          </w:tcPr>
          <w:p w14:paraId="7818863E" w14:textId="77777777" w:rsidR="00F227C0" w:rsidRPr="002C1FD9" w:rsidRDefault="00F227C0" w:rsidP="00F227C0">
            <w:pPr>
              <w:rPr>
                <w:rFonts w:asciiTheme="minorHAnsi" w:hAnsiTheme="minorHAnsi"/>
                <w:b/>
                <w:bCs/>
                <w:sz w:val="18"/>
                <w:szCs w:val="18"/>
              </w:rPr>
            </w:pPr>
          </w:p>
        </w:tc>
        <w:tc>
          <w:tcPr>
            <w:tcW w:w="2416" w:type="dxa"/>
          </w:tcPr>
          <w:p w14:paraId="1C0997B6"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2823D22B"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planning only.  No direct services will be provided.</w:t>
            </w:r>
          </w:p>
        </w:tc>
      </w:tr>
      <w:tr w:rsidR="002C1FD9" w:rsidRPr="002C1FD9" w14:paraId="7320ABEC" w14:textId="77777777" w:rsidTr="00F227C0">
        <w:tc>
          <w:tcPr>
            <w:tcW w:w="440" w:type="dxa"/>
            <w:vMerge/>
          </w:tcPr>
          <w:p w14:paraId="44F69B9A" w14:textId="77777777" w:rsidR="00F227C0" w:rsidRPr="002C1FD9" w:rsidRDefault="00F227C0" w:rsidP="00F227C0">
            <w:pPr>
              <w:rPr>
                <w:rFonts w:asciiTheme="minorHAnsi" w:hAnsiTheme="minorHAnsi"/>
                <w:b/>
                <w:bCs/>
                <w:sz w:val="18"/>
                <w:szCs w:val="18"/>
              </w:rPr>
            </w:pPr>
          </w:p>
        </w:tc>
        <w:tc>
          <w:tcPr>
            <w:tcW w:w="2416" w:type="dxa"/>
          </w:tcPr>
          <w:p w14:paraId="12258779"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602068DC"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04/30/2021</w:t>
            </w:r>
          </w:p>
        </w:tc>
      </w:tr>
      <w:tr w:rsidR="002C1FD9" w:rsidRPr="002C1FD9" w14:paraId="5BB9431D" w14:textId="77777777" w:rsidTr="00F227C0">
        <w:tc>
          <w:tcPr>
            <w:tcW w:w="440" w:type="dxa"/>
            <w:vMerge/>
          </w:tcPr>
          <w:p w14:paraId="5F07D11E" w14:textId="77777777" w:rsidR="00F227C0" w:rsidRPr="002C1FD9" w:rsidRDefault="00F227C0" w:rsidP="00F227C0">
            <w:pPr>
              <w:rPr>
                <w:rFonts w:asciiTheme="minorHAnsi" w:hAnsiTheme="minorHAnsi"/>
                <w:b/>
                <w:bCs/>
                <w:sz w:val="18"/>
                <w:szCs w:val="18"/>
              </w:rPr>
            </w:pPr>
          </w:p>
        </w:tc>
        <w:tc>
          <w:tcPr>
            <w:tcW w:w="2416" w:type="dxa"/>
          </w:tcPr>
          <w:p w14:paraId="754A4605"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641919E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This project will support planning only.  No direct services will be provided.</w:t>
            </w:r>
          </w:p>
        </w:tc>
      </w:tr>
      <w:tr w:rsidR="002C1FD9" w:rsidRPr="002C1FD9" w14:paraId="52F806DD" w14:textId="77777777" w:rsidTr="00F227C0">
        <w:tc>
          <w:tcPr>
            <w:tcW w:w="440" w:type="dxa"/>
            <w:vMerge/>
          </w:tcPr>
          <w:p w14:paraId="41508A3C" w14:textId="77777777" w:rsidR="00F227C0" w:rsidRPr="002C1FD9" w:rsidRDefault="00F227C0" w:rsidP="00F227C0">
            <w:pPr>
              <w:rPr>
                <w:rFonts w:asciiTheme="minorHAnsi" w:hAnsiTheme="minorHAnsi"/>
                <w:b/>
                <w:bCs/>
                <w:sz w:val="18"/>
                <w:szCs w:val="18"/>
              </w:rPr>
            </w:pPr>
          </w:p>
        </w:tc>
        <w:tc>
          <w:tcPr>
            <w:tcW w:w="2416" w:type="dxa"/>
          </w:tcPr>
          <w:p w14:paraId="2BC518ED"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361AD4A2"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McLean County Regional Planning Commission, 115 E. Washington St, Bloomington, IL</w:t>
            </w:r>
          </w:p>
        </w:tc>
      </w:tr>
      <w:tr w:rsidR="002C1FD9" w:rsidRPr="002C1FD9" w14:paraId="159DBCCB" w14:textId="77777777" w:rsidTr="00F227C0">
        <w:tc>
          <w:tcPr>
            <w:tcW w:w="440" w:type="dxa"/>
            <w:vMerge/>
          </w:tcPr>
          <w:p w14:paraId="43D6B1D6" w14:textId="77777777" w:rsidR="00F227C0" w:rsidRPr="002C1FD9" w:rsidRDefault="00F227C0" w:rsidP="00F227C0">
            <w:pPr>
              <w:rPr>
                <w:rFonts w:asciiTheme="minorHAnsi" w:hAnsiTheme="minorHAnsi"/>
                <w:b/>
                <w:bCs/>
                <w:sz w:val="18"/>
                <w:szCs w:val="18"/>
              </w:rPr>
            </w:pPr>
          </w:p>
        </w:tc>
        <w:tc>
          <w:tcPr>
            <w:tcW w:w="2416" w:type="dxa"/>
          </w:tcPr>
          <w:p w14:paraId="780AF52E" w14:textId="77777777" w:rsidR="00F227C0" w:rsidRPr="002C1FD9" w:rsidRDefault="00F227C0"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617A9BF4" w14:textId="77777777" w:rsidR="00F227C0" w:rsidRPr="002C1FD9" w:rsidRDefault="00F227C0" w:rsidP="00F227C0">
            <w:pPr>
              <w:rPr>
                <w:rFonts w:asciiTheme="minorHAnsi" w:hAnsiTheme="minorHAnsi"/>
                <w:sz w:val="18"/>
                <w:szCs w:val="18"/>
              </w:rPr>
            </w:pPr>
            <w:r w:rsidRPr="002C1FD9">
              <w:rPr>
                <w:rFonts w:asciiTheme="minorHAnsi" w:hAnsiTheme="minorHAnsi"/>
                <w:sz w:val="18"/>
                <w:szCs w:val="18"/>
              </w:rPr>
              <w:t>McLean County Regional Planning Commission (MCRPC) will serve as the lead agency for the Regional Housing Staff Advisory Committee.  MCRPC will coordinate the Affordable and Supportive Housing Committee; serve as the hub for regional housing data through the Housing Dashboard; educate policy-makers, stakehold</w:t>
            </w:r>
            <w:r w:rsidR="00067151" w:rsidRPr="002C1FD9">
              <w:rPr>
                <w:rFonts w:asciiTheme="minorHAnsi" w:hAnsiTheme="minorHAnsi"/>
                <w:sz w:val="18"/>
                <w:szCs w:val="18"/>
              </w:rPr>
              <w:t>er</w:t>
            </w:r>
            <w:r w:rsidRPr="002C1FD9">
              <w:rPr>
                <w:rFonts w:asciiTheme="minorHAnsi" w:hAnsiTheme="minorHAnsi"/>
                <w:sz w:val="18"/>
                <w:szCs w:val="18"/>
              </w:rPr>
              <w:t xml:space="preserve">s </w:t>
            </w:r>
            <w:r w:rsidRPr="002C1FD9">
              <w:rPr>
                <w:rFonts w:asciiTheme="minorHAnsi" w:hAnsiTheme="minorHAnsi"/>
                <w:sz w:val="18"/>
                <w:szCs w:val="18"/>
              </w:rPr>
              <w:lastRenderedPageBreak/>
              <w:t xml:space="preserve">and the general public on affordable housing issues through a series of white-papers; assist with Consolidated Plan implementation; and support City staff with housing </w:t>
            </w:r>
            <w:r w:rsidR="00067151" w:rsidRPr="002C1FD9">
              <w:rPr>
                <w:rFonts w:asciiTheme="minorHAnsi" w:hAnsiTheme="minorHAnsi"/>
                <w:sz w:val="18"/>
                <w:szCs w:val="18"/>
              </w:rPr>
              <w:t>initiatives</w:t>
            </w:r>
            <w:r w:rsidRPr="002C1FD9">
              <w:rPr>
                <w:rFonts w:asciiTheme="minorHAnsi" w:hAnsiTheme="minorHAnsi"/>
                <w:sz w:val="18"/>
                <w:szCs w:val="18"/>
              </w:rPr>
              <w:t xml:space="preserve">, as request.  </w:t>
            </w:r>
          </w:p>
        </w:tc>
      </w:tr>
      <w:tr w:rsidR="002C1FD9" w:rsidRPr="002C1FD9" w14:paraId="17DBC151" w14:textId="77777777" w:rsidTr="00F227C0">
        <w:tc>
          <w:tcPr>
            <w:tcW w:w="440" w:type="dxa"/>
            <w:vMerge/>
          </w:tcPr>
          <w:p w14:paraId="6F8BD81B" w14:textId="77777777" w:rsidR="00F227C0" w:rsidRPr="002C1FD9" w:rsidRDefault="00F227C0" w:rsidP="00F227C0">
            <w:pPr>
              <w:rPr>
                <w:rFonts w:asciiTheme="minorHAnsi" w:hAnsiTheme="minorHAnsi"/>
                <w:b/>
                <w:bCs/>
                <w:sz w:val="18"/>
                <w:szCs w:val="18"/>
              </w:rPr>
            </w:pPr>
          </w:p>
        </w:tc>
        <w:tc>
          <w:tcPr>
            <w:tcW w:w="2416" w:type="dxa"/>
          </w:tcPr>
          <w:p w14:paraId="2613E9C1" w14:textId="77777777" w:rsidR="00F227C0" w:rsidRPr="002C1FD9" w:rsidRDefault="00F227C0" w:rsidP="00F227C0">
            <w:pPr>
              <w:rPr>
                <w:rFonts w:asciiTheme="minorHAnsi" w:hAnsiTheme="minorHAnsi"/>
                <w:b/>
                <w:bCs/>
                <w:sz w:val="18"/>
                <w:szCs w:val="18"/>
              </w:rPr>
            </w:pPr>
          </w:p>
        </w:tc>
        <w:tc>
          <w:tcPr>
            <w:tcW w:w="6494" w:type="dxa"/>
          </w:tcPr>
          <w:p w14:paraId="1037B8A3" w14:textId="77777777" w:rsidR="00F227C0" w:rsidRPr="002C1FD9" w:rsidRDefault="00F227C0" w:rsidP="00F227C0">
            <w:pPr>
              <w:rPr>
                <w:rFonts w:asciiTheme="minorHAnsi" w:hAnsiTheme="minorHAnsi"/>
                <w:b/>
                <w:bCs/>
                <w:sz w:val="18"/>
                <w:szCs w:val="18"/>
              </w:rPr>
            </w:pPr>
          </w:p>
        </w:tc>
      </w:tr>
      <w:tr w:rsidR="002C1FD9" w:rsidRPr="002C1FD9" w14:paraId="5897947B" w14:textId="77777777" w:rsidTr="00F227C0">
        <w:tc>
          <w:tcPr>
            <w:tcW w:w="440" w:type="dxa"/>
            <w:vMerge w:val="restart"/>
          </w:tcPr>
          <w:p w14:paraId="48DF98D7"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12</w:t>
            </w:r>
          </w:p>
        </w:tc>
        <w:tc>
          <w:tcPr>
            <w:tcW w:w="2416" w:type="dxa"/>
          </w:tcPr>
          <w:p w14:paraId="5DFAC5BF"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Project Name</w:t>
            </w:r>
          </w:p>
        </w:tc>
        <w:tc>
          <w:tcPr>
            <w:tcW w:w="6494" w:type="dxa"/>
          </w:tcPr>
          <w:p w14:paraId="350972E0"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COVID-19 Prevention, Preparation and Response</w:t>
            </w:r>
          </w:p>
        </w:tc>
      </w:tr>
      <w:tr w:rsidR="002C1FD9" w:rsidRPr="002C1FD9" w14:paraId="40513B27" w14:textId="77777777" w:rsidTr="00F227C0">
        <w:tc>
          <w:tcPr>
            <w:tcW w:w="440" w:type="dxa"/>
            <w:vMerge/>
          </w:tcPr>
          <w:p w14:paraId="687C6DE0" w14:textId="77777777" w:rsidR="00E76D77" w:rsidRPr="002C1FD9" w:rsidRDefault="00E76D77" w:rsidP="00F227C0">
            <w:pPr>
              <w:rPr>
                <w:rFonts w:asciiTheme="minorHAnsi" w:hAnsiTheme="minorHAnsi"/>
                <w:b/>
                <w:bCs/>
                <w:sz w:val="18"/>
                <w:szCs w:val="18"/>
              </w:rPr>
            </w:pPr>
          </w:p>
        </w:tc>
        <w:tc>
          <w:tcPr>
            <w:tcW w:w="2416" w:type="dxa"/>
          </w:tcPr>
          <w:p w14:paraId="1802E57A"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Target Area</w:t>
            </w:r>
          </w:p>
        </w:tc>
        <w:tc>
          <w:tcPr>
            <w:tcW w:w="6494" w:type="dxa"/>
          </w:tcPr>
          <w:p w14:paraId="3A0E3691"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City-wide</w:t>
            </w:r>
          </w:p>
        </w:tc>
      </w:tr>
      <w:tr w:rsidR="002C1FD9" w:rsidRPr="002C1FD9" w14:paraId="0E2EE703" w14:textId="77777777" w:rsidTr="00F227C0">
        <w:tc>
          <w:tcPr>
            <w:tcW w:w="440" w:type="dxa"/>
            <w:vMerge/>
          </w:tcPr>
          <w:p w14:paraId="5B2F9378" w14:textId="77777777" w:rsidR="00E76D77" w:rsidRPr="002C1FD9" w:rsidRDefault="00E76D77" w:rsidP="00F227C0">
            <w:pPr>
              <w:rPr>
                <w:rFonts w:asciiTheme="minorHAnsi" w:hAnsiTheme="minorHAnsi"/>
                <w:b/>
                <w:bCs/>
                <w:sz w:val="18"/>
                <w:szCs w:val="18"/>
              </w:rPr>
            </w:pPr>
          </w:p>
        </w:tc>
        <w:tc>
          <w:tcPr>
            <w:tcW w:w="2416" w:type="dxa"/>
          </w:tcPr>
          <w:p w14:paraId="673C716D"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Goals Supported</w:t>
            </w:r>
          </w:p>
        </w:tc>
        <w:tc>
          <w:tcPr>
            <w:tcW w:w="6494" w:type="dxa"/>
          </w:tcPr>
          <w:p w14:paraId="6BD6C2C5" w14:textId="77777777" w:rsidR="00921D49" w:rsidRPr="002C1FD9" w:rsidRDefault="00921D49" w:rsidP="00921D49">
            <w:pPr>
              <w:rPr>
                <w:rFonts w:asciiTheme="minorHAnsi" w:hAnsiTheme="minorHAnsi"/>
                <w:b/>
                <w:bCs/>
                <w:sz w:val="18"/>
                <w:szCs w:val="18"/>
              </w:rPr>
            </w:pPr>
            <w:r w:rsidRPr="002C1FD9">
              <w:rPr>
                <w:rFonts w:asciiTheme="minorHAnsi" w:hAnsiTheme="minorHAnsi"/>
                <w:b/>
                <w:bCs/>
                <w:sz w:val="18"/>
                <w:szCs w:val="18"/>
              </w:rPr>
              <w:t>COVID-19 Prevention, Preparation and Response</w:t>
            </w:r>
          </w:p>
        </w:tc>
      </w:tr>
      <w:tr w:rsidR="002C1FD9" w:rsidRPr="002C1FD9" w14:paraId="6B9CA003" w14:textId="77777777" w:rsidTr="00F227C0">
        <w:tc>
          <w:tcPr>
            <w:tcW w:w="440" w:type="dxa"/>
            <w:vMerge/>
          </w:tcPr>
          <w:p w14:paraId="58E6DD4E" w14:textId="77777777" w:rsidR="00E76D77" w:rsidRPr="002C1FD9" w:rsidRDefault="00E76D77" w:rsidP="00F227C0">
            <w:pPr>
              <w:rPr>
                <w:rFonts w:asciiTheme="minorHAnsi" w:hAnsiTheme="minorHAnsi"/>
                <w:b/>
                <w:bCs/>
                <w:sz w:val="18"/>
                <w:szCs w:val="18"/>
              </w:rPr>
            </w:pPr>
          </w:p>
        </w:tc>
        <w:tc>
          <w:tcPr>
            <w:tcW w:w="2416" w:type="dxa"/>
          </w:tcPr>
          <w:p w14:paraId="7B6B9ADF"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Needs Addressed</w:t>
            </w:r>
          </w:p>
        </w:tc>
        <w:tc>
          <w:tcPr>
            <w:tcW w:w="6494" w:type="dxa"/>
          </w:tcPr>
          <w:p w14:paraId="06DE23B6" w14:textId="77777777" w:rsidR="00E76D77" w:rsidRPr="002C1FD9" w:rsidRDefault="00921D49" w:rsidP="00921D49">
            <w:pPr>
              <w:contextualSpacing/>
              <w:rPr>
                <w:rFonts w:asciiTheme="minorHAnsi" w:hAnsiTheme="minorHAnsi"/>
                <w:b/>
                <w:bCs/>
                <w:sz w:val="18"/>
                <w:szCs w:val="18"/>
              </w:rPr>
            </w:pPr>
            <w:r w:rsidRPr="002C1FD9">
              <w:rPr>
                <w:rFonts w:asciiTheme="minorHAnsi" w:hAnsiTheme="minorHAnsi"/>
                <w:b/>
                <w:bCs/>
                <w:sz w:val="18"/>
                <w:szCs w:val="18"/>
              </w:rPr>
              <w:t>COVID-19 Response</w:t>
            </w:r>
          </w:p>
          <w:p w14:paraId="0DF5824C" w14:textId="77777777" w:rsidR="00921D49" w:rsidRPr="002C1FD9" w:rsidRDefault="00921D49" w:rsidP="00921D49">
            <w:pPr>
              <w:contextualSpacing/>
              <w:rPr>
                <w:rFonts w:asciiTheme="minorHAnsi" w:hAnsiTheme="minorHAnsi"/>
                <w:b/>
                <w:bCs/>
                <w:sz w:val="18"/>
                <w:szCs w:val="18"/>
              </w:rPr>
            </w:pPr>
            <w:r w:rsidRPr="002C1FD9">
              <w:rPr>
                <w:rFonts w:asciiTheme="minorHAnsi" w:hAnsiTheme="minorHAnsi"/>
                <w:b/>
                <w:bCs/>
                <w:sz w:val="18"/>
                <w:szCs w:val="18"/>
              </w:rPr>
              <w:t>Renter Assistance</w:t>
            </w:r>
          </w:p>
          <w:p w14:paraId="301137EC" w14:textId="77777777" w:rsidR="00921D49" w:rsidRPr="002C1FD9" w:rsidRDefault="00921D49" w:rsidP="00921D49">
            <w:pPr>
              <w:contextualSpacing/>
              <w:rPr>
                <w:rFonts w:asciiTheme="minorHAnsi" w:hAnsiTheme="minorHAnsi"/>
                <w:b/>
                <w:bCs/>
                <w:sz w:val="18"/>
                <w:szCs w:val="18"/>
              </w:rPr>
            </w:pPr>
            <w:r w:rsidRPr="002C1FD9">
              <w:rPr>
                <w:rFonts w:asciiTheme="minorHAnsi" w:hAnsiTheme="minorHAnsi"/>
                <w:b/>
                <w:bCs/>
                <w:sz w:val="18"/>
                <w:szCs w:val="18"/>
              </w:rPr>
              <w:t>Affordable Housing Preservation</w:t>
            </w:r>
          </w:p>
          <w:p w14:paraId="747748BB" w14:textId="77777777" w:rsidR="00921D49" w:rsidRPr="002C1FD9" w:rsidRDefault="00921D49" w:rsidP="00921D49">
            <w:pPr>
              <w:contextualSpacing/>
              <w:rPr>
                <w:rFonts w:asciiTheme="minorHAnsi" w:hAnsiTheme="minorHAnsi"/>
                <w:b/>
                <w:bCs/>
                <w:sz w:val="18"/>
                <w:szCs w:val="18"/>
              </w:rPr>
            </w:pPr>
            <w:r w:rsidRPr="002C1FD9">
              <w:rPr>
                <w:rFonts w:asciiTheme="minorHAnsi" w:hAnsiTheme="minorHAnsi"/>
                <w:b/>
                <w:bCs/>
                <w:sz w:val="18"/>
                <w:szCs w:val="18"/>
              </w:rPr>
              <w:t>Business Support</w:t>
            </w:r>
          </w:p>
        </w:tc>
      </w:tr>
      <w:tr w:rsidR="002C1FD9" w:rsidRPr="002C1FD9" w14:paraId="31BF2794" w14:textId="77777777" w:rsidTr="00F227C0">
        <w:tc>
          <w:tcPr>
            <w:tcW w:w="440" w:type="dxa"/>
            <w:vMerge/>
          </w:tcPr>
          <w:p w14:paraId="7D3BEE8F" w14:textId="77777777" w:rsidR="00E76D77" w:rsidRPr="002C1FD9" w:rsidRDefault="00E76D77" w:rsidP="00F227C0">
            <w:pPr>
              <w:rPr>
                <w:rFonts w:asciiTheme="minorHAnsi" w:hAnsiTheme="minorHAnsi"/>
                <w:b/>
                <w:bCs/>
                <w:sz w:val="18"/>
                <w:szCs w:val="18"/>
              </w:rPr>
            </w:pPr>
          </w:p>
        </w:tc>
        <w:tc>
          <w:tcPr>
            <w:tcW w:w="2416" w:type="dxa"/>
          </w:tcPr>
          <w:p w14:paraId="1767B8A2"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Description</w:t>
            </w:r>
          </w:p>
        </w:tc>
        <w:tc>
          <w:tcPr>
            <w:tcW w:w="6494" w:type="dxa"/>
          </w:tcPr>
          <w:p w14:paraId="68DB3F94" w14:textId="77777777" w:rsidR="00E76D77" w:rsidRPr="002C1FD9" w:rsidRDefault="00DC42B2" w:rsidP="00F227C0">
            <w:pPr>
              <w:rPr>
                <w:rFonts w:asciiTheme="minorHAnsi" w:hAnsiTheme="minorHAnsi"/>
                <w:b/>
                <w:bCs/>
                <w:sz w:val="18"/>
                <w:szCs w:val="18"/>
              </w:rPr>
            </w:pPr>
            <w:r w:rsidRPr="002C1FD9">
              <w:rPr>
                <w:rFonts w:asciiTheme="minorHAnsi" w:hAnsiTheme="minorHAnsi"/>
                <w:b/>
                <w:bCs/>
                <w:sz w:val="18"/>
                <w:szCs w:val="18"/>
              </w:rPr>
              <w:t>This project will support the City’s response to the COVID-19 pandemic.</w:t>
            </w:r>
          </w:p>
        </w:tc>
      </w:tr>
      <w:tr w:rsidR="002C1FD9" w:rsidRPr="002C1FD9" w14:paraId="33921253" w14:textId="77777777" w:rsidTr="00F227C0">
        <w:tc>
          <w:tcPr>
            <w:tcW w:w="440" w:type="dxa"/>
            <w:vMerge/>
          </w:tcPr>
          <w:p w14:paraId="3B88899E" w14:textId="77777777" w:rsidR="00E76D77" w:rsidRPr="002C1FD9" w:rsidRDefault="00E76D77" w:rsidP="00F227C0">
            <w:pPr>
              <w:rPr>
                <w:rFonts w:asciiTheme="minorHAnsi" w:hAnsiTheme="minorHAnsi"/>
                <w:b/>
                <w:bCs/>
                <w:sz w:val="18"/>
                <w:szCs w:val="18"/>
              </w:rPr>
            </w:pPr>
          </w:p>
        </w:tc>
        <w:tc>
          <w:tcPr>
            <w:tcW w:w="2416" w:type="dxa"/>
          </w:tcPr>
          <w:p w14:paraId="54B47C68"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Target Date</w:t>
            </w:r>
          </w:p>
        </w:tc>
        <w:tc>
          <w:tcPr>
            <w:tcW w:w="6494" w:type="dxa"/>
          </w:tcPr>
          <w:p w14:paraId="33DA8473" w14:textId="77777777" w:rsidR="00E76D77" w:rsidRPr="002C1FD9" w:rsidRDefault="00921D49" w:rsidP="00F227C0">
            <w:pPr>
              <w:rPr>
                <w:rFonts w:asciiTheme="minorHAnsi" w:hAnsiTheme="minorHAnsi"/>
                <w:b/>
                <w:bCs/>
                <w:sz w:val="18"/>
                <w:szCs w:val="18"/>
              </w:rPr>
            </w:pPr>
            <w:r w:rsidRPr="002C1FD9">
              <w:rPr>
                <w:rFonts w:asciiTheme="minorHAnsi" w:hAnsiTheme="minorHAnsi"/>
                <w:b/>
                <w:bCs/>
                <w:sz w:val="18"/>
                <w:szCs w:val="18"/>
              </w:rPr>
              <w:t>September 30, 2022</w:t>
            </w:r>
          </w:p>
        </w:tc>
      </w:tr>
      <w:tr w:rsidR="002C1FD9" w:rsidRPr="002C1FD9" w14:paraId="7539A7A8" w14:textId="77777777" w:rsidTr="00F227C0">
        <w:tc>
          <w:tcPr>
            <w:tcW w:w="440" w:type="dxa"/>
            <w:vMerge/>
          </w:tcPr>
          <w:p w14:paraId="69E2BB2B" w14:textId="77777777" w:rsidR="00E76D77" w:rsidRPr="002C1FD9" w:rsidRDefault="00E76D77" w:rsidP="00F227C0">
            <w:pPr>
              <w:rPr>
                <w:rFonts w:asciiTheme="minorHAnsi" w:hAnsiTheme="minorHAnsi"/>
                <w:b/>
                <w:bCs/>
                <w:sz w:val="18"/>
                <w:szCs w:val="18"/>
              </w:rPr>
            </w:pPr>
          </w:p>
        </w:tc>
        <w:tc>
          <w:tcPr>
            <w:tcW w:w="2416" w:type="dxa"/>
          </w:tcPr>
          <w:p w14:paraId="63B7DF18"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Estimate the number and type of families that will benefit from the proposed activities</w:t>
            </w:r>
          </w:p>
        </w:tc>
        <w:tc>
          <w:tcPr>
            <w:tcW w:w="6494" w:type="dxa"/>
          </w:tcPr>
          <w:p w14:paraId="4D79B386" w14:textId="77777777" w:rsidR="00E76D77" w:rsidRPr="002C1FD9" w:rsidRDefault="00921D49" w:rsidP="00F227C0">
            <w:pPr>
              <w:contextualSpacing/>
              <w:rPr>
                <w:rFonts w:asciiTheme="minorHAnsi" w:hAnsiTheme="minorHAnsi"/>
                <w:b/>
                <w:bCs/>
                <w:sz w:val="18"/>
                <w:szCs w:val="18"/>
              </w:rPr>
            </w:pPr>
            <w:r w:rsidRPr="002C1FD9">
              <w:rPr>
                <w:rFonts w:asciiTheme="minorHAnsi" w:hAnsiTheme="minorHAnsi"/>
                <w:b/>
                <w:bCs/>
                <w:sz w:val="18"/>
                <w:szCs w:val="18"/>
              </w:rPr>
              <w:t>125 low- and moderate income (LMI) households</w:t>
            </w:r>
          </w:p>
          <w:p w14:paraId="4EA66D32" w14:textId="77777777" w:rsidR="00921D49" w:rsidRPr="002C1FD9" w:rsidRDefault="00921D49" w:rsidP="00F227C0">
            <w:pPr>
              <w:contextualSpacing/>
              <w:rPr>
                <w:rFonts w:asciiTheme="minorHAnsi" w:hAnsiTheme="minorHAnsi"/>
                <w:b/>
                <w:bCs/>
                <w:sz w:val="18"/>
                <w:szCs w:val="18"/>
              </w:rPr>
            </w:pPr>
            <w:r w:rsidRPr="002C1FD9">
              <w:rPr>
                <w:rFonts w:asciiTheme="minorHAnsi" w:hAnsiTheme="minorHAnsi"/>
                <w:b/>
                <w:bCs/>
                <w:sz w:val="18"/>
                <w:szCs w:val="18"/>
              </w:rPr>
              <w:t>25 non-LMI households</w:t>
            </w:r>
          </w:p>
        </w:tc>
      </w:tr>
      <w:tr w:rsidR="002C1FD9" w:rsidRPr="002C1FD9" w14:paraId="631496E5" w14:textId="77777777" w:rsidTr="00F227C0">
        <w:tc>
          <w:tcPr>
            <w:tcW w:w="440" w:type="dxa"/>
            <w:vMerge/>
          </w:tcPr>
          <w:p w14:paraId="57C0D796" w14:textId="77777777" w:rsidR="00E76D77" w:rsidRPr="002C1FD9" w:rsidRDefault="00E76D77" w:rsidP="00F227C0">
            <w:pPr>
              <w:rPr>
                <w:rFonts w:asciiTheme="minorHAnsi" w:hAnsiTheme="minorHAnsi"/>
                <w:b/>
                <w:bCs/>
                <w:sz w:val="18"/>
                <w:szCs w:val="18"/>
              </w:rPr>
            </w:pPr>
          </w:p>
        </w:tc>
        <w:tc>
          <w:tcPr>
            <w:tcW w:w="2416" w:type="dxa"/>
          </w:tcPr>
          <w:p w14:paraId="01698605"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Location Description</w:t>
            </w:r>
          </w:p>
        </w:tc>
        <w:tc>
          <w:tcPr>
            <w:tcW w:w="6494" w:type="dxa"/>
          </w:tcPr>
          <w:p w14:paraId="189D25FD" w14:textId="77777777" w:rsidR="00E76D77" w:rsidRPr="002C1FD9" w:rsidRDefault="00DC42B2" w:rsidP="00F227C0">
            <w:pPr>
              <w:rPr>
                <w:rFonts w:asciiTheme="minorHAnsi" w:hAnsiTheme="minorHAnsi"/>
                <w:b/>
                <w:bCs/>
                <w:sz w:val="18"/>
                <w:szCs w:val="18"/>
              </w:rPr>
            </w:pPr>
            <w:r w:rsidRPr="002C1FD9">
              <w:rPr>
                <w:rFonts w:asciiTheme="minorHAnsi" w:hAnsiTheme="minorHAnsi"/>
                <w:b/>
                <w:bCs/>
                <w:sz w:val="18"/>
                <w:szCs w:val="18"/>
              </w:rPr>
              <w:t>TBD</w:t>
            </w:r>
          </w:p>
        </w:tc>
      </w:tr>
      <w:tr w:rsidR="002C1FD9" w:rsidRPr="002C1FD9" w14:paraId="44B62C46" w14:textId="77777777" w:rsidTr="00F227C0">
        <w:tc>
          <w:tcPr>
            <w:tcW w:w="440" w:type="dxa"/>
            <w:vMerge/>
          </w:tcPr>
          <w:p w14:paraId="0D142F6F" w14:textId="77777777" w:rsidR="00E76D77" w:rsidRPr="002C1FD9" w:rsidRDefault="00E76D77" w:rsidP="00F227C0">
            <w:pPr>
              <w:rPr>
                <w:rFonts w:asciiTheme="minorHAnsi" w:hAnsiTheme="minorHAnsi"/>
                <w:b/>
                <w:bCs/>
                <w:sz w:val="18"/>
                <w:szCs w:val="18"/>
              </w:rPr>
            </w:pPr>
          </w:p>
        </w:tc>
        <w:tc>
          <w:tcPr>
            <w:tcW w:w="2416" w:type="dxa"/>
          </w:tcPr>
          <w:p w14:paraId="50E63A3F" w14:textId="77777777" w:rsidR="00E76D77" w:rsidRPr="002C1FD9" w:rsidRDefault="00E76D77" w:rsidP="00F227C0">
            <w:pPr>
              <w:rPr>
                <w:rFonts w:asciiTheme="minorHAnsi" w:hAnsiTheme="minorHAnsi"/>
                <w:b/>
                <w:bCs/>
                <w:sz w:val="18"/>
                <w:szCs w:val="18"/>
              </w:rPr>
            </w:pPr>
            <w:r w:rsidRPr="002C1FD9">
              <w:rPr>
                <w:rFonts w:asciiTheme="minorHAnsi" w:hAnsiTheme="minorHAnsi"/>
                <w:b/>
                <w:bCs/>
                <w:sz w:val="18"/>
                <w:szCs w:val="18"/>
              </w:rPr>
              <w:t>Planned Activities</w:t>
            </w:r>
          </w:p>
        </w:tc>
        <w:tc>
          <w:tcPr>
            <w:tcW w:w="6494" w:type="dxa"/>
          </w:tcPr>
          <w:p w14:paraId="71BE8F17" w14:textId="77777777" w:rsidR="00E76D77" w:rsidRPr="002C1FD9" w:rsidRDefault="00921D49" w:rsidP="00F227C0">
            <w:pPr>
              <w:rPr>
                <w:rFonts w:asciiTheme="minorHAnsi" w:hAnsiTheme="minorHAnsi"/>
                <w:b/>
                <w:bCs/>
                <w:sz w:val="18"/>
                <w:szCs w:val="18"/>
              </w:rPr>
            </w:pPr>
            <w:r w:rsidRPr="002C1FD9">
              <w:rPr>
                <w:rFonts w:asciiTheme="minorHAnsi" w:hAnsiTheme="minorHAnsi"/>
                <w:b/>
                <w:bCs/>
                <w:sz w:val="18"/>
                <w:szCs w:val="18"/>
              </w:rPr>
              <w:t>The City will support a program to pr</w:t>
            </w:r>
            <w:r w:rsidR="00311567" w:rsidRPr="002C1FD9">
              <w:rPr>
                <w:rFonts w:asciiTheme="minorHAnsi" w:hAnsiTheme="minorHAnsi"/>
                <w:b/>
                <w:bCs/>
                <w:sz w:val="18"/>
                <w:szCs w:val="18"/>
              </w:rPr>
              <w:t xml:space="preserve">ovide direct aid to residents.  Eligible services may include but not be limited to assistance with rent/mortgage, utilities, medical expenses, and child care.  Payments will be made directly to providers, will not exceed 3-months and will address unmet needs.  </w:t>
            </w:r>
          </w:p>
          <w:p w14:paraId="3AD9F605" w14:textId="77777777" w:rsidR="00DC42B2" w:rsidRPr="002C1FD9" w:rsidRDefault="00DC42B2" w:rsidP="00F227C0">
            <w:pPr>
              <w:rPr>
                <w:rFonts w:asciiTheme="minorHAnsi" w:hAnsiTheme="minorHAnsi"/>
                <w:b/>
                <w:bCs/>
                <w:sz w:val="18"/>
                <w:szCs w:val="18"/>
              </w:rPr>
            </w:pPr>
            <w:r w:rsidRPr="002C1FD9">
              <w:rPr>
                <w:rFonts w:asciiTheme="minorHAnsi" w:hAnsiTheme="minorHAnsi"/>
                <w:b/>
                <w:bCs/>
                <w:sz w:val="18"/>
                <w:szCs w:val="18"/>
              </w:rPr>
              <w:t>An additional public service activity to support COVID-19 testing may be funded if the need should arise.</w:t>
            </w:r>
          </w:p>
          <w:p w14:paraId="1BC6FAC3" w14:textId="77777777" w:rsidR="00311567" w:rsidRPr="002C1FD9" w:rsidRDefault="00311567" w:rsidP="00EE29B5">
            <w:pPr>
              <w:rPr>
                <w:rFonts w:asciiTheme="minorHAnsi" w:hAnsiTheme="minorHAnsi"/>
                <w:b/>
                <w:bCs/>
                <w:sz w:val="18"/>
                <w:szCs w:val="18"/>
              </w:rPr>
            </w:pPr>
            <w:r w:rsidRPr="002C1FD9">
              <w:rPr>
                <w:rFonts w:asciiTheme="minorHAnsi" w:hAnsiTheme="minorHAnsi"/>
                <w:b/>
                <w:bCs/>
                <w:sz w:val="18"/>
                <w:szCs w:val="18"/>
              </w:rPr>
              <w:t xml:space="preserve">Business support will be offered through a grant program, available to businesses with 25 or fewer employees.  Grants will address unmet needs. </w:t>
            </w:r>
          </w:p>
        </w:tc>
      </w:tr>
    </w:tbl>
    <w:p w14:paraId="4B699D74" w14:textId="77777777" w:rsidR="008607D3" w:rsidRPr="002C1FD9" w:rsidRDefault="000F3005">
      <w:pPr>
        <w:pStyle w:val="Heading2"/>
        <w:pageBreakBefore/>
        <w:widowControl w:val="0"/>
        <w:rPr>
          <w:rFonts w:ascii="Calibri" w:hAnsi="Calibri"/>
          <w:i w:val="0"/>
        </w:rPr>
      </w:pPr>
      <w:bookmarkStart w:id="1" w:name="_Toc309810477"/>
      <w:bookmarkEnd w:id="0"/>
      <w:r w:rsidRPr="002C1FD9">
        <w:rPr>
          <w:rFonts w:ascii="Calibri" w:hAnsi="Calibri"/>
          <w:i w:val="0"/>
        </w:rPr>
        <w:lastRenderedPageBreak/>
        <w:t xml:space="preserve">AP-50 Geographic Distribution – 91.220(f) </w:t>
      </w:r>
      <w:bookmarkEnd w:id="1"/>
    </w:p>
    <w:p w14:paraId="3E0B2FBD" w14:textId="77777777" w:rsidR="008607D3" w:rsidRPr="002C1FD9" w:rsidRDefault="000F3005">
      <w:pPr>
        <w:keepNext/>
        <w:widowControl w:val="0"/>
        <w:rPr>
          <w:b/>
          <w:sz w:val="24"/>
          <w:szCs w:val="24"/>
        </w:rPr>
      </w:pPr>
      <w:r w:rsidRPr="002C1FD9">
        <w:rPr>
          <w:b/>
          <w:sz w:val="24"/>
          <w:szCs w:val="24"/>
        </w:rPr>
        <w:t xml:space="preserve">Description of the geographic areas of the entitlement (including areas of low-income and minority concentration) where assistance will be directed </w:t>
      </w:r>
    </w:p>
    <w:p w14:paraId="1CBD1A1B" w14:textId="77777777" w:rsidR="008607D3" w:rsidRPr="002C1FD9" w:rsidRDefault="000F3005">
      <w:pPr>
        <w:keepNext/>
        <w:widowControl w:val="0"/>
        <w:spacing w:beforeAutospacing="1" w:afterAutospacing="1"/>
        <w:rPr>
          <w:rFonts w:cs="Arial"/>
          <w:szCs w:val="26"/>
        </w:rPr>
      </w:pPr>
      <w:r w:rsidRPr="002C1FD9">
        <w:rPr>
          <w:rFonts w:cs="Arial"/>
        </w:rPr>
        <w:t>West Bloomington has a higher concentration of low-income and minority households than many other areas within the City.  Housing is comprised of 2/3 rental and 1/3 owner-occupied with most of the housing units at least 100 years old.  Infrastructure is aging and in need of replacement.</w:t>
      </w:r>
    </w:p>
    <w:p w14:paraId="2363C002" w14:textId="77777777" w:rsidR="008607D3" w:rsidRPr="002C1FD9" w:rsidRDefault="000F3005">
      <w:pPr>
        <w:keepNext/>
        <w:widowControl w:val="0"/>
        <w:rPr>
          <w:b/>
          <w:sz w:val="24"/>
          <w:szCs w:val="24"/>
        </w:rPr>
      </w:pPr>
      <w:r w:rsidRPr="002C1FD9">
        <w:rPr>
          <w:b/>
          <w:sz w:val="24"/>
          <w:szCs w:val="24"/>
        </w:rPr>
        <w:t>Geographic Distribution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9"/>
        <w:gridCol w:w="2074"/>
      </w:tblGrid>
      <w:tr w:rsidR="002C1FD9" w:rsidRPr="002C1FD9" w14:paraId="156E7FE6" w14:textId="77777777">
        <w:trPr>
          <w:cantSplit/>
          <w:tblHeader/>
        </w:trPr>
        <w:tc>
          <w:tcPr>
            <w:tcW w:w="0" w:type="auto"/>
          </w:tcPr>
          <w:p w14:paraId="433716BF" w14:textId="77777777" w:rsidR="008607D3" w:rsidRPr="002C1FD9" w:rsidRDefault="000F3005">
            <w:pPr>
              <w:keepNext/>
              <w:widowControl w:val="0"/>
              <w:spacing w:after="0" w:line="240" w:lineRule="auto"/>
              <w:jc w:val="center"/>
              <w:rPr>
                <w:b/>
                <w:szCs w:val="24"/>
              </w:rPr>
            </w:pPr>
            <w:r w:rsidRPr="002C1FD9">
              <w:rPr>
                <w:b/>
              </w:rPr>
              <w:t>Target Area</w:t>
            </w:r>
          </w:p>
        </w:tc>
        <w:tc>
          <w:tcPr>
            <w:tcW w:w="0" w:type="auto"/>
          </w:tcPr>
          <w:p w14:paraId="3A440105" w14:textId="77777777" w:rsidR="008607D3" w:rsidRPr="002C1FD9" w:rsidRDefault="000F3005">
            <w:pPr>
              <w:keepNext/>
              <w:widowControl w:val="0"/>
              <w:spacing w:after="0" w:line="240" w:lineRule="auto"/>
              <w:jc w:val="center"/>
              <w:rPr>
                <w:b/>
                <w:szCs w:val="24"/>
              </w:rPr>
            </w:pPr>
            <w:r w:rsidRPr="002C1FD9">
              <w:rPr>
                <w:b/>
              </w:rPr>
              <w:t>Percentage of Funds</w:t>
            </w:r>
          </w:p>
        </w:tc>
      </w:tr>
      <w:tr w:rsidR="002C1FD9" w:rsidRPr="002C1FD9" w14:paraId="0EE591C0" w14:textId="77777777">
        <w:trPr>
          <w:cantSplit/>
        </w:trPr>
        <w:tc>
          <w:tcPr>
            <w:tcW w:w="0" w:type="auto"/>
          </w:tcPr>
          <w:p w14:paraId="09145194" w14:textId="77777777" w:rsidR="008607D3" w:rsidRPr="002C1FD9" w:rsidRDefault="000F3005">
            <w:pPr>
              <w:spacing w:beforeAutospacing="1" w:afterAutospacing="1"/>
            </w:pPr>
            <w:r w:rsidRPr="002C1FD9">
              <w:t>LMA Preservation Area</w:t>
            </w:r>
          </w:p>
        </w:tc>
        <w:tc>
          <w:tcPr>
            <w:tcW w:w="0" w:type="auto"/>
            <w:vAlign w:val="bottom"/>
          </w:tcPr>
          <w:p w14:paraId="138328F9" w14:textId="77777777" w:rsidR="008607D3" w:rsidRPr="002C1FD9" w:rsidRDefault="000F3005">
            <w:pPr>
              <w:spacing w:beforeAutospacing="1" w:afterAutospacing="1"/>
              <w:jc w:val="right"/>
            </w:pPr>
            <w:r w:rsidRPr="002C1FD9">
              <w:t>2</w:t>
            </w:r>
          </w:p>
        </w:tc>
      </w:tr>
      <w:tr w:rsidR="002C1FD9" w:rsidRPr="002C1FD9" w14:paraId="001030E1" w14:textId="77777777">
        <w:trPr>
          <w:cantSplit/>
        </w:trPr>
        <w:tc>
          <w:tcPr>
            <w:tcW w:w="0" w:type="auto"/>
          </w:tcPr>
          <w:p w14:paraId="091CC854" w14:textId="77777777" w:rsidR="008607D3" w:rsidRPr="002C1FD9" w:rsidRDefault="000F3005">
            <w:pPr>
              <w:spacing w:beforeAutospacing="1" w:afterAutospacing="1"/>
            </w:pPr>
            <w:r w:rsidRPr="002C1FD9">
              <w:t>WBRP Service Area</w:t>
            </w:r>
          </w:p>
        </w:tc>
        <w:tc>
          <w:tcPr>
            <w:tcW w:w="0" w:type="auto"/>
            <w:vAlign w:val="bottom"/>
          </w:tcPr>
          <w:p w14:paraId="55440C04" w14:textId="77777777" w:rsidR="008607D3" w:rsidRPr="002C1FD9" w:rsidRDefault="000F3005">
            <w:pPr>
              <w:spacing w:beforeAutospacing="1" w:afterAutospacing="1"/>
              <w:jc w:val="right"/>
            </w:pPr>
            <w:r w:rsidRPr="002C1FD9">
              <w:t>64</w:t>
            </w:r>
          </w:p>
        </w:tc>
      </w:tr>
      <w:tr w:rsidR="002C1FD9" w:rsidRPr="002C1FD9" w14:paraId="04C6D23A" w14:textId="77777777">
        <w:trPr>
          <w:cantSplit/>
        </w:trPr>
        <w:tc>
          <w:tcPr>
            <w:tcW w:w="0" w:type="auto"/>
          </w:tcPr>
          <w:p w14:paraId="4382EF5C" w14:textId="77777777" w:rsidR="008607D3" w:rsidRPr="002C1FD9" w:rsidRDefault="000F3005">
            <w:pPr>
              <w:spacing w:beforeAutospacing="1" w:afterAutospacing="1"/>
            </w:pPr>
            <w:r w:rsidRPr="002C1FD9">
              <w:t>LMA Regeneration Area - Outside WBRP</w:t>
            </w:r>
          </w:p>
        </w:tc>
        <w:tc>
          <w:tcPr>
            <w:tcW w:w="0" w:type="auto"/>
            <w:vAlign w:val="bottom"/>
          </w:tcPr>
          <w:p w14:paraId="3848D7E0" w14:textId="77777777" w:rsidR="008607D3" w:rsidRPr="002C1FD9" w:rsidRDefault="000F3005">
            <w:pPr>
              <w:spacing w:beforeAutospacing="1" w:afterAutospacing="1"/>
              <w:jc w:val="right"/>
            </w:pPr>
            <w:r w:rsidRPr="002C1FD9">
              <w:t>34</w:t>
            </w:r>
          </w:p>
        </w:tc>
      </w:tr>
    </w:tbl>
    <w:p w14:paraId="0C99442F" w14:textId="77777777" w:rsidR="008607D3" w:rsidRPr="002C1FD9" w:rsidRDefault="000F3005">
      <w:pPr>
        <w:pStyle w:val="Caption"/>
        <w:rPr>
          <w:rFonts w:asciiTheme="minorHAnsi" w:hAnsiTheme="minorHAnsi"/>
        </w:rPr>
      </w:pPr>
      <w:r w:rsidRPr="002C1FD9">
        <w:rPr>
          <w:rFonts w:asciiTheme="minorHAnsi" w:hAnsiTheme="minorHAnsi"/>
        </w:rPr>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4</w:t>
      </w:r>
      <w:r w:rsidRPr="002C1FD9">
        <w:rPr>
          <w:rFonts w:asciiTheme="minorHAnsi" w:hAnsiTheme="minorHAnsi"/>
        </w:rPr>
        <w:fldChar w:fldCharType="end"/>
      </w:r>
      <w:r w:rsidRPr="002C1FD9">
        <w:rPr>
          <w:rFonts w:asciiTheme="minorHAnsi" w:hAnsiTheme="minorHAnsi"/>
        </w:rPr>
        <w:t xml:space="preserve"> - Geographic Distribution </w:t>
      </w:r>
    </w:p>
    <w:p w14:paraId="4475AD14" w14:textId="77777777" w:rsidR="008607D3" w:rsidRPr="002C1FD9" w:rsidRDefault="008607D3">
      <w:pPr>
        <w:spacing w:after="0" w:line="240" w:lineRule="auto"/>
        <w:rPr>
          <w:b/>
          <w:sz w:val="24"/>
          <w:szCs w:val="24"/>
        </w:rPr>
      </w:pPr>
    </w:p>
    <w:p w14:paraId="7EA938C4" w14:textId="77777777" w:rsidR="008607D3" w:rsidRPr="002C1FD9" w:rsidRDefault="000F3005">
      <w:pPr>
        <w:keepNext/>
        <w:widowControl w:val="0"/>
        <w:rPr>
          <w:b/>
          <w:sz w:val="24"/>
          <w:szCs w:val="24"/>
        </w:rPr>
      </w:pPr>
      <w:r w:rsidRPr="002C1FD9">
        <w:rPr>
          <w:b/>
          <w:sz w:val="24"/>
          <w:szCs w:val="24"/>
        </w:rPr>
        <w:t xml:space="preserve">Rationale for the priorities for allocating investments geographically </w:t>
      </w:r>
    </w:p>
    <w:p w14:paraId="64F5EB29" w14:textId="77777777" w:rsidR="008607D3" w:rsidRPr="002C1FD9" w:rsidRDefault="000F3005">
      <w:pPr>
        <w:keepNext/>
        <w:widowControl w:val="0"/>
        <w:spacing w:beforeAutospacing="1" w:afterAutospacing="1"/>
        <w:rPr>
          <w:rFonts w:cs="Arial"/>
          <w:szCs w:val="24"/>
        </w:rPr>
      </w:pPr>
      <w:r w:rsidRPr="002C1FD9">
        <w:rPr>
          <w:rFonts w:cs="Arial"/>
        </w:rPr>
        <w:t xml:space="preserve">During the outreach process conducted for the </w:t>
      </w:r>
      <w:r w:rsidR="00067151" w:rsidRPr="002C1FD9">
        <w:rPr>
          <w:rFonts w:cs="Arial"/>
        </w:rPr>
        <w:t>development</w:t>
      </w:r>
      <w:r w:rsidRPr="002C1FD9">
        <w:rPr>
          <w:rFonts w:cs="Arial"/>
        </w:rPr>
        <w:t xml:space="preserve"> of the 2020-2024 Consolidated Plan, West Bloomington was identified as the area most in need of revitalization.  The WBRP Service Area encompasses a smaller target area formerly identified as the City's designated slum/blight area. </w:t>
      </w:r>
    </w:p>
    <w:p w14:paraId="1ED38454" w14:textId="77777777" w:rsidR="008607D3" w:rsidRPr="002C1FD9" w:rsidRDefault="000F3005">
      <w:pPr>
        <w:keepNext/>
        <w:widowControl w:val="0"/>
        <w:spacing w:line="204" w:lineRule="auto"/>
        <w:rPr>
          <w:b/>
          <w:sz w:val="24"/>
          <w:szCs w:val="24"/>
        </w:rPr>
      </w:pPr>
      <w:r w:rsidRPr="002C1FD9">
        <w:rPr>
          <w:b/>
          <w:sz w:val="24"/>
          <w:szCs w:val="24"/>
        </w:rPr>
        <w:t>Discussion</w:t>
      </w:r>
    </w:p>
    <w:p w14:paraId="51CF9B16" w14:textId="77777777" w:rsidR="008607D3" w:rsidRPr="002C1FD9" w:rsidRDefault="000F3005">
      <w:pPr>
        <w:keepNext/>
        <w:widowControl w:val="0"/>
        <w:spacing w:beforeAutospacing="1" w:afterAutospacing="1"/>
        <w:rPr>
          <w:b/>
          <w:sz w:val="24"/>
          <w:szCs w:val="24"/>
        </w:rPr>
      </w:pPr>
      <w:r w:rsidRPr="002C1FD9">
        <w:rPr>
          <w:rFonts w:cs="Arial"/>
        </w:rPr>
        <w:t xml:space="preserve">The distribution between the WBRP Service Area and LMA Regeneration Area - Outside WBRP may vary depending on the locations of housing rehabilitation projects.  </w:t>
      </w:r>
    </w:p>
    <w:p w14:paraId="120C4E94" w14:textId="77777777" w:rsidR="008607D3" w:rsidRPr="002C1FD9" w:rsidRDefault="008607D3">
      <w:pPr>
        <w:rPr>
          <w:rFonts w:cs="Arial"/>
        </w:rPr>
      </w:pPr>
    </w:p>
    <w:p w14:paraId="0971995D" w14:textId="77777777" w:rsidR="008607D3" w:rsidRPr="002C1FD9" w:rsidRDefault="000F3005">
      <w:pPr>
        <w:pStyle w:val="Heading1"/>
        <w:pageBreakBefore/>
        <w:jc w:val="center"/>
        <w:rPr>
          <w:rFonts w:ascii="Calibri" w:hAnsi="Calibri"/>
          <w:color w:val="auto"/>
          <w:sz w:val="32"/>
          <w:szCs w:val="32"/>
        </w:rPr>
      </w:pPr>
      <w:r w:rsidRPr="002C1FD9">
        <w:rPr>
          <w:rFonts w:ascii="Calibri" w:hAnsi="Calibri"/>
          <w:color w:val="auto"/>
          <w:sz w:val="32"/>
          <w:szCs w:val="32"/>
        </w:rPr>
        <w:lastRenderedPageBreak/>
        <w:t xml:space="preserve">Affordable Housing </w:t>
      </w:r>
    </w:p>
    <w:p w14:paraId="589B2865" w14:textId="77777777" w:rsidR="008607D3" w:rsidRPr="002C1FD9" w:rsidRDefault="000F3005">
      <w:pPr>
        <w:pStyle w:val="Heading2"/>
        <w:widowControl w:val="0"/>
        <w:rPr>
          <w:rFonts w:ascii="Calibri" w:hAnsi="Calibri"/>
          <w:i w:val="0"/>
        </w:rPr>
      </w:pPr>
      <w:r w:rsidRPr="002C1FD9">
        <w:rPr>
          <w:rFonts w:ascii="Calibri" w:hAnsi="Calibri"/>
          <w:i w:val="0"/>
        </w:rPr>
        <w:t xml:space="preserve">AP-55 Affordable Housing – 91.220(g) </w:t>
      </w:r>
    </w:p>
    <w:p w14:paraId="1AFD851D" w14:textId="77777777" w:rsidR="008607D3" w:rsidRPr="002C1FD9" w:rsidRDefault="000F3005">
      <w:pPr>
        <w:keepNext/>
        <w:widowControl w:val="0"/>
        <w:spacing w:line="204" w:lineRule="auto"/>
        <w:rPr>
          <w:b/>
          <w:sz w:val="28"/>
          <w:szCs w:val="28"/>
        </w:rPr>
      </w:pPr>
      <w:r w:rsidRPr="002C1FD9">
        <w:rPr>
          <w:b/>
          <w:sz w:val="24"/>
          <w:szCs w:val="24"/>
        </w:rPr>
        <w:t>Introduction</w:t>
      </w:r>
    </w:p>
    <w:p w14:paraId="1B6E0F99" w14:textId="77777777" w:rsidR="008607D3" w:rsidRPr="002C1FD9" w:rsidRDefault="000F3005">
      <w:pPr>
        <w:keepNext/>
        <w:widowControl w:val="0"/>
        <w:spacing w:beforeAutospacing="1" w:afterAutospacing="1"/>
        <w:rPr>
          <w:b/>
          <w:sz w:val="24"/>
          <w:szCs w:val="24"/>
        </w:rPr>
      </w:pPr>
      <w:r w:rsidRPr="002C1FD9">
        <w:t>Although CDBG cannot be used for new construction, the City will support affordable housing preservation through several of the projects identified in this Annual Action Plan.</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2C1FD9" w:rsidRPr="002C1FD9" w14:paraId="1E16C6B1" w14:textId="77777777">
        <w:trPr>
          <w:cantSplit/>
          <w:tblHeader/>
        </w:trPr>
        <w:tc>
          <w:tcPr>
            <w:tcW w:w="6473" w:type="dxa"/>
            <w:gridSpan w:val="2"/>
          </w:tcPr>
          <w:p w14:paraId="70C5E1F0" w14:textId="77777777" w:rsidR="008607D3" w:rsidRPr="002C1FD9" w:rsidRDefault="000F3005">
            <w:pPr>
              <w:keepNext/>
              <w:widowControl w:val="0"/>
              <w:spacing w:after="0" w:line="240" w:lineRule="auto"/>
              <w:jc w:val="center"/>
              <w:rPr>
                <w:b/>
                <w:szCs w:val="24"/>
              </w:rPr>
            </w:pPr>
            <w:r w:rsidRPr="002C1FD9">
              <w:rPr>
                <w:b/>
              </w:rPr>
              <w:t>One Year Goals for the Number of Households to be Supported</w:t>
            </w:r>
          </w:p>
        </w:tc>
      </w:tr>
      <w:tr w:rsidR="002C1FD9" w:rsidRPr="002C1FD9" w14:paraId="62F3E7BC" w14:textId="77777777">
        <w:trPr>
          <w:cantSplit/>
        </w:trPr>
        <w:tc>
          <w:tcPr>
            <w:tcW w:w="4853" w:type="dxa"/>
            <w:tcBorders>
              <w:top w:val="nil"/>
              <w:bottom w:val="nil"/>
            </w:tcBorders>
            <w:vAlign w:val="bottom"/>
          </w:tcPr>
          <w:p w14:paraId="06F2AD6B" w14:textId="77777777" w:rsidR="008607D3" w:rsidRPr="002C1FD9" w:rsidRDefault="000F3005">
            <w:pPr>
              <w:spacing w:beforeAutospacing="1" w:afterAutospacing="1"/>
            </w:pPr>
            <w:r w:rsidRPr="002C1FD9">
              <w:t>Homeless</w:t>
            </w:r>
          </w:p>
        </w:tc>
        <w:tc>
          <w:tcPr>
            <w:tcW w:w="1620" w:type="dxa"/>
            <w:tcBorders>
              <w:top w:val="nil"/>
              <w:bottom w:val="nil"/>
            </w:tcBorders>
            <w:vAlign w:val="bottom"/>
          </w:tcPr>
          <w:p w14:paraId="33113584" w14:textId="77777777" w:rsidR="008607D3" w:rsidRPr="002C1FD9" w:rsidRDefault="000F3005">
            <w:pPr>
              <w:spacing w:beforeAutospacing="1" w:afterAutospacing="1"/>
              <w:jc w:val="right"/>
            </w:pPr>
            <w:r w:rsidRPr="002C1FD9">
              <w:t>0</w:t>
            </w:r>
          </w:p>
        </w:tc>
      </w:tr>
      <w:tr w:rsidR="002C1FD9" w:rsidRPr="002C1FD9" w14:paraId="6FF0322C" w14:textId="77777777">
        <w:trPr>
          <w:cantSplit/>
        </w:trPr>
        <w:tc>
          <w:tcPr>
            <w:tcW w:w="4853" w:type="dxa"/>
            <w:tcBorders>
              <w:top w:val="nil"/>
              <w:bottom w:val="nil"/>
            </w:tcBorders>
            <w:vAlign w:val="bottom"/>
          </w:tcPr>
          <w:p w14:paraId="7FF4E34E" w14:textId="77777777" w:rsidR="008607D3" w:rsidRPr="002C1FD9" w:rsidRDefault="000F3005">
            <w:pPr>
              <w:spacing w:beforeAutospacing="1" w:afterAutospacing="1"/>
            </w:pPr>
            <w:r w:rsidRPr="002C1FD9">
              <w:t>Non-Homeless</w:t>
            </w:r>
          </w:p>
        </w:tc>
        <w:tc>
          <w:tcPr>
            <w:tcW w:w="1620" w:type="dxa"/>
            <w:tcBorders>
              <w:top w:val="nil"/>
              <w:bottom w:val="nil"/>
            </w:tcBorders>
            <w:vAlign w:val="bottom"/>
          </w:tcPr>
          <w:p w14:paraId="4BDA9431" w14:textId="77777777" w:rsidR="008607D3" w:rsidRPr="002C1FD9" w:rsidRDefault="00DC42B2">
            <w:pPr>
              <w:spacing w:beforeAutospacing="1" w:afterAutospacing="1"/>
              <w:jc w:val="right"/>
            </w:pPr>
            <w:r w:rsidRPr="002C1FD9">
              <w:t>2</w:t>
            </w:r>
            <w:r w:rsidR="00387E28" w:rsidRPr="002C1FD9">
              <w:t>02</w:t>
            </w:r>
          </w:p>
        </w:tc>
      </w:tr>
      <w:tr w:rsidR="002C1FD9" w:rsidRPr="002C1FD9" w14:paraId="3DCE2676" w14:textId="77777777">
        <w:trPr>
          <w:cantSplit/>
        </w:trPr>
        <w:tc>
          <w:tcPr>
            <w:tcW w:w="4853" w:type="dxa"/>
            <w:tcBorders>
              <w:top w:val="nil"/>
              <w:bottom w:val="nil"/>
            </w:tcBorders>
            <w:vAlign w:val="bottom"/>
          </w:tcPr>
          <w:p w14:paraId="06EB5DC6" w14:textId="77777777" w:rsidR="008607D3" w:rsidRPr="002C1FD9" w:rsidRDefault="000F3005">
            <w:pPr>
              <w:spacing w:beforeAutospacing="1" w:afterAutospacing="1"/>
            </w:pPr>
            <w:r w:rsidRPr="002C1FD9">
              <w:t>Special-Needs</w:t>
            </w:r>
          </w:p>
        </w:tc>
        <w:tc>
          <w:tcPr>
            <w:tcW w:w="1620" w:type="dxa"/>
            <w:tcBorders>
              <w:top w:val="nil"/>
              <w:bottom w:val="nil"/>
            </w:tcBorders>
            <w:vAlign w:val="bottom"/>
          </w:tcPr>
          <w:p w14:paraId="5531F93F" w14:textId="77777777" w:rsidR="008607D3" w:rsidRPr="002C1FD9" w:rsidRDefault="000F3005">
            <w:pPr>
              <w:spacing w:beforeAutospacing="1" w:afterAutospacing="1"/>
              <w:jc w:val="right"/>
            </w:pPr>
            <w:r w:rsidRPr="002C1FD9">
              <w:t>0</w:t>
            </w:r>
          </w:p>
        </w:tc>
      </w:tr>
      <w:tr w:rsidR="002C1FD9" w:rsidRPr="002C1FD9" w14:paraId="0CAAD8E0" w14:textId="77777777">
        <w:trPr>
          <w:cantSplit/>
        </w:trPr>
        <w:tc>
          <w:tcPr>
            <w:tcW w:w="4853" w:type="dxa"/>
            <w:tcBorders>
              <w:top w:val="nil"/>
              <w:bottom w:val="nil"/>
            </w:tcBorders>
            <w:vAlign w:val="bottom"/>
          </w:tcPr>
          <w:p w14:paraId="46FE0C09" w14:textId="77777777" w:rsidR="008607D3" w:rsidRPr="002C1FD9" w:rsidRDefault="000F3005">
            <w:pPr>
              <w:spacing w:beforeAutospacing="1" w:afterAutospacing="1"/>
            </w:pPr>
            <w:r w:rsidRPr="002C1FD9">
              <w:t>Total</w:t>
            </w:r>
          </w:p>
        </w:tc>
        <w:tc>
          <w:tcPr>
            <w:tcW w:w="1620" w:type="dxa"/>
            <w:tcBorders>
              <w:top w:val="nil"/>
              <w:bottom w:val="nil"/>
            </w:tcBorders>
            <w:vAlign w:val="bottom"/>
          </w:tcPr>
          <w:p w14:paraId="56871863" w14:textId="77777777" w:rsidR="008607D3" w:rsidRPr="002C1FD9" w:rsidRDefault="00DC42B2" w:rsidP="00387E28">
            <w:pPr>
              <w:spacing w:beforeAutospacing="1" w:afterAutospacing="1"/>
              <w:jc w:val="right"/>
            </w:pPr>
            <w:r w:rsidRPr="002C1FD9">
              <w:t>20</w:t>
            </w:r>
            <w:r w:rsidR="00387E28" w:rsidRPr="002C1FD9">
              <w:t>2</w:t>
            </w:r>
          </w:p>
        </w:tc>
      </w:tr>
    </w:tbl>
    <w:p w14:paraId="211BC349" w14:textId="77777777" w:rsidR="008607D3" w:rsidRPr="002C1FD9" w:rsidRDefault="000F3005">
      <w:pPr>
        <w:pStyle w:val="Caption"/>
        <w:rPr>
          <w:rFonts w:asciiTheme="minorHAnsi" w:hAnsiTheme="minorHAnsi"/>
        </w:rPr>
      </w:pPr>
      <w:r w:rsidRPr="002C1FD9">
        <w:rPr>
          <w:rFonts w:asciiTheme="minorHAnsi" w:hAnsiTheme="minorHAnsi"/>
        </w:rPr>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5</w:t>
      </w:r>
      <w:r w:rsidRPr="002C1FD9">
        <w:rPr>
          <w:rFonts w:asciiTheme="minorHAnsi" w:hAnsiTheme="minorHAnsi"/>
        </w:rPr>
        <w:fldChar w:fldCharType="end"/>
      </w:r>
      <w:r w:rsidRPr="002C1FD9">
        <w:rPr>
          <w:rFonts w:asciiTheme="minorHAnsi" w:hAnsiTheme="minorHAnsi"/>
        </w:rPr>
        <w:t xml:space="preserve"> - One Year Goals for Affordable Housing by Support Requirement</w:t>
      </w:r>
    </w:p>
    <w:p w14:paraId="42AFC42D" w14:textId="77777777" w:rsidR="008607D3" w:rsidRPr="002C1FD9" w:rsidRDefault="008607D3">
      <w:pPr>
        <w:rPr>
          <w:b/>
          <w:sz w:val="20"/>
          <w:szCs w:val="20"/>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53"/>
        <w:gridCol w:w="1620"/>
      </w:tblGrid>
      <w:tr w:rsidR="002C1FD9" w:rsidRPr="002C1FD9" w14:paraId="0DB1F7D3" w14:textId="77777777">
        <w:trPr>
          <w:cantSplit/>
          <w:tblHeader/>
        </w:trPr>
        <w:tc>
          <w:tcPr>
            <w:tcW w:w="6473" w:type="dxa"/>
            <w:gridSpan w:val="2"/>
          </w:tcPr>
          <w:p w14:paraId="43D5BE13" w14:textId="77777777" w:rsidR="008607D3" w:rsidRPr="002C1FD9" w:rsidRDefault="000F3005">
            <w:pPr>
              <w:keepNext/>
              <w:widowControl w:val="0"/>
              <w:spacing w:after="0" w:line="240" w:lineRule="auto"/>
              <w:jc w:val="center"/>
              <w:rPr>
                <w:b/>
                <w:szCs w:val="24"/>
              </w:rPr>
            </w:pPr>
            <w:r w:rsidRPr="002C1FD9">
              <w:rPr>
                <w:b/>
              </w:rPr>
              <w:t>One Year Goals for the Number of Households Supported Through</w:t>
            </w:r>
          </w:p>
        </w:tc>
      </w:tr>
      <w:tr w:rsidR="002C1FD9" w:rsidRPr="002C1FD9" w14:paraId="7B23CAA6" w14:textId="77777777">
        <w:trPr>
          <w:cantSplit/>
        </w:trPr>
        <w:tc>
          <w:tcPr>
            <w:tcW w:w="4853" w:type="dxa"/>
            <w:tcBorders>
              <w:top w:val="nil"/>
              <w:bottom w:val="nil"/>
            </w:tcBorders>
            <w:vAlign w:val="bottom"/>
          </w:tcPr>
          <w:p w14:paraId="4B72379F" w14:textId="77777777" w:rsidR="008607D3" w:rsidRPr="002C1FD9" w:rsidRDefault="000F3005">
            <w:pPr>
              <w:spacing w:beforeAutospacing="1" w:afterAutospacing="1"/>
            </w:pPr>
            <w:r w:rsidRPr="002C1FD9">
              <w:t>Rental Assistance</w:t>
            </w:r>
          </w:p>
        </w:tc>
        <w:tc>
          <w:tcPr>
            <w:tcW w:w="1620" w:type="dxa"/>
            <w:tcBorders>
              <w:top w:val="nil"/>
              <w:bottom w:val="nil"/>
            </w:tcBorders>
            <w:vAlign w:val="bottom"/>
          </w:tcPr>
          <w:p w14:paraId="72CF255B" w14:textId="77777777" w:rsidR="008607D3" w:rsidRPr="002C1FD9" w:rsidRDefault="00DC42B2">
            <w:pPr>
              <w:spacing w:beforeAutospacing="1" w:afterAutospacing="1"/>
              <w:jc w:val="right"/>
            </w:pPr>
            <w:r w:rsidRPr="002C1FD9">
              <w:t>130</w:t>
            </w:r>
          </w:p>
        </w:tc>
      </w:tr>
      <w:tr w:rsidR="002C1FD9" w:rsidRPr="002C1FD9" w14:paraId="561F47C1" w14:textId="77777777">
        <w:trPr>
          <w:cantSplit/>
        </w:trPr>
        <w:tc>
          <w:tcPr>
            <w:tcW w:w="4853" w:type="dxa"/>
            <w:tcBorders>
              <w:top w:val="nil"/>
              <w:bottom w:val="nil"/>
            </w:tcBorders>
            <w:vAlign w:val="bottom"/>
          </w:tcPr>
          <w:p w14:paraId="5C7D0B97" w14:textId="77777777" w:rsidR="008607D3" w:rsidRPr="002C1FD9" w:rsidRDefault="000F3005">
            <w:pPr>
              <w:spacing w:beforeAutospacing="1" w:afterAutospacing="1"/>
            </w:pPr>
            <w:r w:rsidRPr="002C1FD9">
              <w:t>The Production of New Units</w:t>
            </w:r>
          </w:p>
        </w:tc>
        <w:tc>
          <w:tcPr>
            <w:tcW w:w="1620" w:type="dxa"/>
            <w:tcBorders>
              <w:top w:val="nil"/>
              <w:bottom w:val="nil"/>
            </w:tcBorders>
            <w:vAlign w:val="bottom"/>
          </w:tcPr>
          <w:p w14:paraId="22C3D751" w14:textId="77777777" w:rsidR="008607D3" w:rsidRPr="002C1FD9" w:rsidRDefault="00DC42B2">
            <w:pPr>
              <w:spacing w:beforeAutospacing="1" w:afterAutospacing="1"/>
              <w:jc w:val="right"/>
            </w:pPr>
            <w:r w:rsidRPr="002C1FD9">
              <w:t>4</w:t>
            </w:r>
          </w:p>
        </w:tc>
      </w:tr>
      <w:tr w:rsidR="002C1FD9" w:rsidRPr="002C1FD9" w14:paraId="209FD588" w14:textId="77777777">
        <w:trPr>
          <w:cantSplit/>
        </w:trPr>
        <w:tc>
          <w:tcPr>
            <w:tcW w:w="4853" w:type="dxa"/>
            <w:tcBorders>
              <w:top w:val="nil"/>
              <w:bottom w:val="nil"/>
            </w:tcBorders>
            <w:vAlign w:val="bottom"/>
          </w:tcPr>
          <w:p w14:paraId="06347EA1" w14:textId="77777777" w:rsidR="008607D3" w:rsidRPr="002C1FD9" w:rsidRDefault="000F3005">
            <w:pPr>
              <w:spacing w:beforeAutospacing="1" w:afterAutospacing="1"/>
            </w:pPr>
            <w:r w:rsidRPr="002C1FD9">
              <w:t>Rehab of Existing Units</w:t>
            </w:r>
          </w:p>
        </w:tc>
        <w:tc>
          <w:tcPr>
            <w:tcW w:w="1620" w:type="dxa"/>
            <w:tcBorders>
              <w:top w:val="nil"/>
              <w:bottom w:val="nil"/>
            </w:tcBorders>
            <w:vAlign w:val="bottom"/>
          </w:tcPr>
          <w:p w14:paraId="245D991A" w14:textId="77777777" w:rsidR="008607D3" w:rsidRPr="002C1FD9" w:rsidRDefault="000F3005">
            <w:pPr>
              <w:spacing w:beforeAutospacing="1" w:afterAutospacing="1"/>
              <w:jc w:val="right"/>
            </w:pPr>
            <w:r w:rsidRPr="002C1FD9">
              <w:t>41</w:t>
            </w:r>
          </w:p>
        </w:tc>
      </w:tr>
      <w:tr w:rsidR="002C1FD9" w:rsidRPr="002C1FD9" w14:paraId="0AEB3C9D" w14:textId="77777777">
        <w:trPr>
          <w:cantSplit/>
        </w:trPr>
        <w:tc>
          <w:tcPr>
            <w:tcW w:w="4853" w:type="dxa"/>
            <w:tcBorders>
              <w:top w:val="nil"/>
              <w:bottom w:val="nil"/>
            </w:tcBorders>
            <w:vAlign w:val="bottom"/>
          </w:tcPr>
          <w:p w14:paraId="26642580" w14:textId="77777777" w:rsidR="008607D3" w:rsidRPr="002C1FD9" w:rsidRDefault="000F3005">
            <w:pPr>
              <w:spacing w:beforeAutospacing="1" w:afterAutospacing="1"/>
            </w:pPr>
            <w:r w:rsidRPr="002C1FD9">
              <w:t>Acquisition of Existing Units</w:t>
            </w:r>
          </w:p>
        </w:tc>
        <w:tc>
          <w:tcPr>
            <w:tcW w:w="1620" w:type="dxa"/>
            <w:tcBorders>
              <w:top w:val="nil"/>
              <w:bottom w:val="nil"/>
            </w:tcBorders>
            <w:vAlign w:val="bottom"/>
          </w:tcPr>
          <w:p w14:paraId="54B6C890" w14:textId="77777777" w:rsidR="008607D3" w:rsidRPr="002C1FD9" w:rsidRDefault="00387E28">
            <w:pPr>
              <w:spacing w:beforeAutospacing="1" w:afterAutospacing="1"/>
              <w:jc w:val="right"/>
            </w:pPr>
            <w:r w:rsidRPr="002C1FD9">
              <w:t>2</w:t>
            </w:r>
          </w:p>
        </w:tc>
      </w:tr>
      <w:tr w:rsidR="002C1FD9" w:rsidRPr="002C1FD9" w14:paraId="2BE6EE56" w14:textId="77777777">
        <w:trPr>
          <w:cantSplit/>
        </w:trPr>
        <w:tc>
          <w:tcPr>
            <w:tcW w:w="4853" w:type="dxa"/>
            <w:tcBorders>
              <w:top w:val="nil"/>
              <w:bottom w:val="nil"/>
            </w:tcBorders>
            <w:vAlign w:val="bottom"/>
          </w:tcPr>
          <w:p w14:paraId="51E8FDB7" w14:textId="77777777" w:rsidR="008607D3" w:rsidRPr="002C1FD9" w:rsidRDefault="000F3005">
            <w:pPr>
              <w:spacing w:beforeAutospacing="1" w:afterAutospacing="1"/>
            </w:pPr>
            <w:r w:rsidRPr="002C1FD9">
              <w:t>Total</w:t>
            </w:r>
          </w:p>
        </w:tc>
        <w:tc>
          <w:tcPr>
            <w:tcW w:w="1620" w:type="dxa"/>
            <w:tcBorders>
              <w:top w:val="nil"/>
              <w:bottom w:val="nil"/>
            </w:tcBorders>
            <w:vAlign w:val="bottom"/>
          </w:tcPr>
          <w:p w14:paraId="69BFE567" w14:textId="77777777" w:rsidR="008607D3" w:rsidRPr="002C1FD9" w:rsidRDefault="00DC42B2" w:rsidP="00387E28">
            <w:pPr>
              <w:spacing w:beforeAutospacing="1" w:afterAutospacing="1"/>
              <w:jc w:val="right"/>
            </w:pPr>
            <w:r w:rsidRPr="002C1FD9">
              <w:t>20</w:t>
            </w:r>
            <w:r w:rsidR="00387E28" w:rsidRPr="002C1FD9">
              <w:t>2</w:t>
            </w:r>
          </w:p>
        </w:tc>
      </w:tr>
    </w:tbl>
    <w:p w14:paraId="6A621443" w14:textId="77777777" w:rsidR="008607D3" w:rsidRPr="002C1FD9" w:rsidRDefault="000F3005">
      <w:pPr>
        <w:pStyle w:val="Caption"/>
        <w:rPr>
          <w:rFonts w:asciiTheme="minorHAnsi" w:hAnsiTheme="minorHAnsi"/>
        </w:rPr>
      </w:pPr>
      <w:r w:rsidRPr="002C1FD9">
        <w:rPr>
          <w:rFonts w:asciiTheme="minorHAnsi" w:hAnsiTheme="minorHAnsi"/>
        </w:rPr>
        <w:t xml:space="preserve">Table </w:t>
      </w:r>
      <w:r w:rsidRPr="002C1FD9">
        <w:rPr>
          <w:rFonts w:asciiTheme="minorHAnsi" w:hAnsiTheme="minorHAnsi"/>
        </w:rPr>
        <w:fldChar w:fldCharType="begin"/>
      </w:r>
      <w:r w:rsidRPr="002C1FD9">
        <w:rPr>
          <w:rFonts w:asciiTheme="minorHAnsi" w:hAnsiTheme="minorHAnsi"/>
        </w:rPr>
        <w:instrText xml:space="preserve"> SEQ Table \* ARABIC </w:instrText>
      </w:r>
      <w:r w:rsidRPr="002C1FD9">
        <w:rPr>
          <w:rFonts w:asciiTheme="minorHAnsi" w:hAnsiTheme="minorHAnsi"/>
        </w:rPr>
        <w:fldChar w:fldCharType="separate"/>
      </w:r>
      <w:r w:rsidR="00067151" w:rsidRPr="002C1FD9">
        <w:rPr>
          <w:rFonts w:asciiTheme="minorHAnsi" w:hAnsiTheme="minorHAnsi"/>
          <w:noProof/>
        </w:rPr>
        <w:t>6</w:t>
      </w:r>
      <w:r w:rsidRPr="002C1FD9">
        <w:rPr>
          <w:rFonts w:asciiTheme="minorHAnsi" w:hAnsiTheme="minorHAnsi"/>
        </w:rPr>
        <w:fldChar w:fldCharType="end"/>
      </w:r>
      <w:r w:rsidRPr="002C1FD9">
        <w:rPr>
          <w:rFonts w:asciiTheme="minorHAnsi" w:hAnsiTheme="minorHAnsi"/>
        </w:rPr>
        <w:t xml:space="preserve"> - One Year Goals for Affordable Housing by Support Type</w:t>
      </w:r>
    </w:p>
    <w:p w14:paraId="271CA723" w14:textId="77777777" w:rsidR="008607D3" w:rsidRPr="002C1FD9" w:rsidRDefault="008607D3">
      <w:pPr>
        <w:keepNext/>
        <w:widowControl w:val="0"/>
        <w:spacing w:line="204" w:lineRule="auto"/>
        <w:rPr>
          <w:b/>
          <w:sz w:val="24"/>
          <w:szCs w:val="24"/>
        </w:rPr>
      </w:pPr>
    </w:p>
    <w:p w14:paraId="755B680E" w14:textId="77777777" w:rsidR="008607D3" w:rsidRPr="002C1FD9" w:rsidRDefault="000F3005">
      <w:pPr>
        <w:keepNext/>
        <w:widowControl w:val="0"/>
        <w:spacing w:line="204" w:lineRule="auto"/>
        <w:rPr>
          <w:b/>
          <w:sz w:val="24"/>
          <w:szCs w:val="24"/>
        </w:rPr>
      </w:pPr>
      <w:r w:rsidRPr="002C1FD9">
        <w:rPr>
          <w:b/>
          <w:sz w:val="24"/>
          <w:szCs w:val="24"/>
        </w:rPr>
        <w:t>Discussion</w:t>
      </w:r>
    </w:p>
    <w:p w14:paraId="036E79F1" w14:textId="77777777" w:rsidR="008607D3" w:rsidRPr="002C1FD9" w:rsidRDefault="000F3005">
      <w:pPr>
        <w:keepNext/>
        <w:widowControl w:val="0"/>
        <w:spacing w:beforeAutospacing="1" w:afterAutospacing="1"/>
        <w:rPr>
          <w:b/>
          <w:sz w:val="24"/>
          <w:szCs w:val="24"/>
        </w:rPr>
      </w:pPr>
      <w:r w:rsidRPr="002C1FD9">
        <w:rPr>
          <w:rFonts w:cs="Arial"/>
        </w:rPr>
        <w:t>The total number of households supported through this Annual Action Plan are based on the estimated numbers served through the following projects:</w:t>
      </w:r>
    </w:p>
    <w:p w14:paraId="016592F8" w14:textId="77777777" w:rsidR="008607D3" w:rsidRPr="002C1FD9" w:rsidRDefault="000F3005" w:rsidP="00067151">
      <w:pPr>
        <w:keepNext/>
        <w:widowControl w:val="0"/>
        <w:spacing w:before="100" w:beforeAutospacing="1" w:after="100" w:afterAutospacing="1"/>
        <w:contextualSpacing/>
        <w:rPr>
          <w:rFonts w:cs="Arial"/>
        </w:rPr>
      </w:pPr>
      <w:r w:rsidRPr="002C1FD9">
        <w:rPr>
          <w:rFonts w:cs="Arial"/>
        </w:rPr>
        <w:t>Rental Assistance at Mayor's Manor (5 Units)</w:t>
      </w:r>
    </w:p>
    <w:p w14:paraId="26EF9196" w14:textId="77777777" w:rsidR="00DC42B2" w:rsidRPr="002C1FD9" w:rsidRDefault="00DC42B2" w:rsidP="00067151">
      <w:pPr>
        <w:keepNext/>
        <w:widowControl w:val="0"/>
        <w:spacing w:before="100" w:beforeAutospacing="1" w:after="100" w:afterAutospacing="1"/>
        <w:contextualSpacing/>
        <w:rPr>
          <w:b/>
          <w:sz w:val="24"/>
          <w:szCs w:val="24"/>
        </w:rPr>
      </w:pPr>
      <w:r w:rsidRPr="002C1FD9">
        <w:rPr>
          <w:rFonts w:cs="Arial"/>
        </w:rPr>
        <w:t>Rent and Mortgage Assistance (CDBG-CV) (150 units)</w:t>
      </w:r>
    </w:p>
    <w:p w14:paraId="61705DD8" w14:textId="77777777" w:rsidR="008607D3" w:rsidRPr="002C1FD9" w:rsidRDefault="000F3005" w:rsidP="00067151">
      <w:pPr>
        <w:keepNext/>
        <w:widowControl w:val="0"/>
        <w:spacing w:before="100" w:beforeAutospacing="1" w:after="100" w:afterAutospacing="1"/>
        <w:contextualSpacing/>
        <w:rPr>
          <w:b/>
          <w:sz w:val="24"/>
          <w:szCs w:val="24"/>
        </w:rPr>
      </w:pPr>
      <w:r w:rsidRPr="002C1FD9">
        <w:rPr>
          <w:rFonts w:cs="Arial"/>
        </w:rPr>
        <w:t>New Habitat Homes (3 Units)</w:t>
      </w:r>
    </w:p>
    <w:p w14:paraId="263C5527" w14:textId="77777777" w:rsidR="008607D3" w:rsidRPr="002C1FD9" w:rsidRDefault="000F3005" w:rsidP="00067151">
      <w:pPr>
        <w:keepNext/>
        <w:widowControl w:val="0"/>
        <w:spacing w:before="100" w:beforeAutospacing="1" w:after="100" w:afterAutospacing="1"/>
        <w:contextualSpacing/>
        <w:rPr>
          <w:b/>
          <w:sz w:val="24"/>
          <w:szCs w:val="24"/>
        </w:rPr>
      </w:pPr>
      <w:r w:rsidRPr="002C1FD9">
        <w:rPr>
          <w:rFonts w:cs="Arial"/>
        </w:rPr>
        <w:t>Homeowner Assistance (Rehabilitation) (25 Units)</w:t>
      </w:r>
    </w:p>
    <w:p w14:paraId="36866BBC" w14:textId="77777777" w:rsidR="008607D3" w:rsidRPr="002C1FD9" w:rsidRDefault="000F3005" w:rsidP="00067151">
      <w:pPr>
        <w:keepNext/>
        <w:widowControl w:val="0"/>
        <w:spacing w:before="100" w:beforeAutospacing="1" w:after="100" w:afterAutospacing="1"/>
        <w:contextualSpacing/>
        <w:rPr>
          <w:rFonts w:cs="Arial"/>
        </w:rPr>
      </w:pPr>
      <w:r w:rsidRPr="002C1FD9">
        <w:rPr>
          <w:rFonts w:cs="Arial"/>
        </w:rPr>
        <w:t>Rental Housing Assistance (Rehabilitation) (16 Units)</w:t>
      </w:r>
    </w:p>
    <w:p w14:paraId="25153797" w14:textId="77777777" w:rsidR="00387E28" w:rsidRPr="002C1FD9" w:rsidRDefault="00387E28" w:rsidP="00067151">
      <w:pPr>
        <w:keepNext/>
        <w:widowControl w:val="0"/>
        <w:spacing w:before="100" w:beforeAutospacing="1" w:after="100" w:afterAutospacing="1"/>
        <w:contextualSpacing/>
        <w:rPr>
          <w:b/>
          <w:sz w:val="24"/>
          <w:szCs w:val="24"/>
        </w:rPr>
      </w:pPr>
      <w:r w:rsidRPr="002C1FD9">
        <w:rPr>
          <w:rFonts w:cs="Arial"/>
        </w:rPr>
        <w:t>Acquisition of Existing Units (2)</w:t>
      </w:r>
    </w:p>
    <w:p w14:paraId="75FBE423" w14:textId="77777777" w:rsidR="008607D3" w:rsidRPr="002C1FD9" w:rsidRDefault="008607D3">
      <w:pPr>
        <w:rPr>
          <w:rFonts w:cs="Arial"/>
        </w:rPr>
      </w:pPr>
    </w:p>
    <w:p w14:paraId="2D3F0BEC" w14:textId="77777777" w:rsidR="008607D3" w:rsidRPr="002C1FD9" w:rsidRDefault="008607D3">
      <w:pPr>
        <w:rPr>
          <w:rFonts w:cs="Arial"/>
        </w:rPr>
      </w:pPr>
    </w:p>
    <w:p w14:paraId="5938745B" w14:textId="77777777" w:rsidR="008607D3" w:rsidRPr="002C1FD9" w:rsidRDefault="000F3005">
      <w:pPr>
        <w:pStyle w:val="Heading2"/>
        <w:pageBreakBefore/>
        <w:widowControl w:val="0"/>
        <w:rPr>
          <w:rFonts w:ascii="Calibri" w:hAnsi="Calibri"/>
          <w:i w:val="0"/>
        </w:rPr>
      </w:pPr>
      <w:r w:rsidRPr="002C1FD9">
        <w:rPr>
          <w:rFonts w:ascii="Calibri" w:hAnsi="Calibri"/>
          <w:i w:val="0"/>
        </w:rPr>
        <w:lastRenderedPageBreak/>
        <w:t xml:space="preserve">AP-60 Public Housing </w:t>
      </w:r>
      <w:r w:rsidRPr="002C1FD9">
        <w:t>–</w:t>
      </w:r>
      <w:r w:rsidRPr="002C1FD9">
        <w:rPr>
          <w:i w:val="0"/>
        </w:rPr>
        <w:t xml:space="preserve"> 91.220(h)</w:t>
      </w:r>
    </w:p>
    <w:p w14:paraId="0FB577B2" w14:textId="77777777" w:rsidR="008607D3" w:rsidRPr="002C1FD9" w:rsidRDefault="000F3005">
      <w:pPr>
        <w:keepNext/>
        <w:widowControl w:val="0"/>
        <w:spacing w:line="204" w:lineRule="auto"/>
        <w:rPr>
          <w:b/>
          <w:sz w:val="24"/>
          <w:szCs w:val="24"/>
        </w:rPr>
      </w:pPr>
      <w:r w:rsidRPr="002C1FD9">
        <w:rPr>
          <w:b/>
          <w:sz w:val="24"/>
          <w:szCs w:val="24"/>
        </w:rPr>
        <w:t>Introduction</w:t>
      </w:r>
    </w:p>
    <w:p w14:paraId="75405574" w14:textId="77777777" w:rsidR="008607D3" w:rsidRPr="002C1FD9" w:rsidRDefault="000F3005">
      <w:pPr>
        <w:keepNext/>
        <w:widowControl w:val="0"/>
        <w:spacing w:beforeAutospacing="1" w:afterAutospacing="1"/>
        <w:rPr>
          <w:b/>
          <w:sz w:val="24"/>
          <w:szCs w:val="24"/>
        </w:rPr>
      </w:pPr>
      <w:r w:rsidRPr="002C1FD9">
        <w:rPr>
          <w:rFonts w:cs="Arial"/>
        </w:rPr>
        <w:t>The Bloomington Housing Authority is committed to providing quality housing and services to its public housing and Housing Choice Voucher Program residents.</w:t>
      </w:r>
    </w:p>
    <w:p w14:paraId="64FBB02F" w14:textId="77777777" w:rsidR="008607D3" w:rsidRPr="002C1FD9" w:rsidRDefault="000F3005">
      <w:pPr>
        <w:keepNext/>
        <w:widowControl w:val="0"/>
        <w:rPr>
          <w:b/>
          <w:sz w:val="24"/>
          <w:szCs w:val="24"/>
        </w:rPr>
      </w:pPr>
      <w:r w:rsidRPr="002C1FD9">
        <w:rPr>
          <w:b/>
          <w:sz w:val="24"/>
          <w:szCs w:val="24"/>
        </w:rPr>
        <w:t>Actions planned during the next year to address the needs to public housing</w:t>
      </w:r>
    </w:p>
    <w:p w14:paraId="4BC8E2B1" w14:textId="77777777" w:rsidR="008607D3" w:rsidRPr="002C1FD9" w:rsidRDefault="000F3005">
      <w:pPr>
        <w:keepNext/>
        <w:widowControl w:val="0"/>
        <w:spacing w:beforeAutospacing="1" w:afterAutospacing="1"/>
        <w:rPr>
          <w:rFonts w:cs="Arial"/>
        </w:rPr>
      </w:pPr>
      <w:r w:rsidRPr="002C1FD9">
        <w:rPr>
          <w:rFonts w:cs="Arial"/>
        </w:rPr>
        <w:t>The Bloomington Housing Authority is not required to increase the number of accessible units.</w:t>
      </w:r>
    </w:p>
    <w:p w14:paraId="1311AAF1" w14:textId="77777777" w:rsidR="006F2998" w:rsidRPr="002C1FD9" w:rsidRDefault="000F3005">
      <w:pPr>
        <w:keepNext/>
        <w:widowControl w:val="0"/>
        <w:rPr>
          <w:b/>
          <w:sz w:val="24"/>
          <w:szCs w:val="24"/>
        </w:rPr>
      </w:pPr>
      <w:r w:rsidRPr="002C1FD9">
        <w:rPr>
          <w:b/>
          <w:sz w:val="24"/>
          <w:szCs w:val="24"/>
        </w:rPr>
        <w:t>Actions to encourage public housing residents to become more involved in management and participate in homeownership</w:t>
      </w:r>
    </w:p>
    <w:p w14:paraId="58E1BD29" w14:textId="77777777" w:rsidR="008607D3" w:rsidRPr="002C1FD9" w:rsidRDefault="000F3005">
      <w:pPr>
        <w:keepNext/>
        <w:widowControl w:val="0"/>
        <w:rPr>
          <w:rFonts w:cs="Arial"/>
        </w:rPr>
      </w:pPr>
      <w:r w:rsidRPr="002C1FD9">
        <w:rPr>
          <w:rFonts w:cs="Arial"/>
        </w:rPr>
        <w:t>The Housing Authority provides several ongoing opportunities for resident involvement. The Housing Authority has a resident services department with three full-time and one part-time employee. Resident engagement is a significant part of this department’s responsibilities.</w:t>
      </w:r>
    </w:p>
    <w:p w14:paraId="69DFD8D4" w14:textId="77777777" w:rsidR="008607D3" w:rsidRPr="002C1FD9" w:rsidRDefault="000F3005">
      <w:pPr>
        <w:keepNext/>
        <w:widowControl w:val="0"/>
        <w:spacing w:beforeAutospacing="1" w:afterAutospacing="1"/>
        <w:rPr>
          <w:rFonts w:cs="Arial"/>
        </w:rPr>
      </w:pPr>
      <w:r w:rsidRPr="002C1FD9">
        <w:rPr>
          <w:rFonts w:cs="Arial"/>
        </w:rPr>
        <w:t>The resident services department facilitates BHA-sponsored events such as a Health and Resource Fair, on-site employment and job-readiness training, and after-school tutoring in two different computer labs at public housing sites. In addition to offering specific “in-house” resources, the Housing Authority collaborates with local partners on multiple events. These activities are opportunities for engagement in the Bloomington-Normal community, building ties among neighbors, and promoting self-advocacy. With a full-time elderly service coordinator staffed at Wood Hill Towers, elderly, disabled, and near-elderly residents have even more opportunities for resident involvement in social and community-oriented activities.</w:t>
      </w:r>
      <w:r w:rsidR="00643129" w:rsidRPr="002C1FD9">
        <w:rPr>
          <w:rFonts w:cs="Arial"/>
        </w:rPr>
        <w:t xml:space="preserve"> </w:t>
      </w:r>
      <w:r w:rsidRPr="002C1FD9">
        <w:rPr>
          <w:rFonts w:cs="Arial"/>
        </w:rPr>
        <w:t>Currently there are no active resident councils at the Housing Authority. However, the Housing Authority is required to convene a Resident Advisory Board each year as part of the process in adopting its annual PHA plan. A public hearing is also conducted as part of this process, and it is well attended by residents, who offer their feedback and suggestions on Housing Authority goals, objectives, and programming for the coming years.</w:t>
      </w:r>
    </w:p>
    <w:p w14:paraId="6F0B35E1" w14:textId="77777777" w:rsidR="006F2998" w:rsidRPr="002C1FD9" w:rsidRDefault="000F3005">
      <w:pPr>
        <w:keepNext/>
        <w:widowControl w:val="0"/>
        <w:rPr>
          <w:b/>
          <w:sz w:val="24"/>
          <w:szCs w:val="24"/>
        </w:rPr>
      </w:pPr>
      <w:r w:rsidRPr="002C1FD9">
        <w:rPr>
          <w:b/>
          <w:sz w:val="24"/>
          <w:szCs w:val="24"/>
        </w:rPr>
        <w:t xml:space="preserve">If the PHA is designated as troubled, describe the manner in which financial assistance will be provided or other assistance </w:t>
      </w:r>
    </w:p>
    <w:p w14:paraId="45127EC2" w14:textId="77777777" w:rsidR="001A53C4" w:rsidRPr="002C1FD9" w:rsidRDefault="000F3005">
      <w:pPr>
        <w:keepNext/>
        <w:widowControl w:val="0"/>
        <w:rPr>
          <w:rFonts w:cs="Arial"/>
          <w:szCs w:val="26"/>
        </w:rPr>
      </w:pPr>
      <w:r w:rsidRPr="002C1FD9">
        <w:rPr>
          <w:rFonts w:cs="Arial"/>
        </w:rPr>
        <w:t>The Bloomington Housing Authority is not designated as “troubled”.</w:t>
      </w:r>
    </w:p>
    <w:p w14:paraId="7827A2D6" w14:textId="77777777" w:rsidR="006F2998" w:rsidRPr="002C1FD9" w:rsidRDefault="000F3005" w:rsidP="007979D2">
      <w:pPr>
        <w:keepNext/>
        <w:widowControl w:val="0"/>
        <w:spacing w:beforeAutospacing="1" w:afterAutospacing="1"/>
        <w:rPr>
          <w:b/>
          <w:sz w:val="24"/>
          <w:szCs w:val="24"/>
        </w:rPr>
      </w:pPr>
      <w:r w:rsidRPr="002C1FD9">
        <w:rPr>
          <w:b/>
          <w:sz w:val="24"/>
          <w:szCs w:val="24"/>
        </w:rPr>
        <w:t>Discussion</w:t>
      </w:r>
      <w:r w:rsidR="006F2998" w:rsidRPr="002C1FD9">
        <w:rPr>
          <w:rFonts w:cs="Arial"/>
        </w:rPr>
        <w:t xml:space="preserve"> </w:t>
      </w:r>
    </w:p>
    <w:p w14:paraId="443D3CA3" w14:textId="77777777" w:rsidR="008607D3" w:rsidRPr="002C1FD9" w:rsidRDefault="000F3005">
      <w:pPr>
        <w:keepNext/>
        <w:widowControl w:val="0"/>
        <w:spacing w:beforeAutospacing="1" w:afterAutospacing="1"/>
        <w:rPr>
          <w:b/>
          <w:sz w:val="24"/>
          <w:szCs w:val="24"/>
        </w:rPr>
      </w:pPr>
      <w:r w:rsidRPr="002C1FD9">
        <w:rPr>
          <w:rFonts w:cs="Arial"/>
        </w:rPr>
        <w:t>The City has a long-standing partnership with the Bloomington Housing Authority.  Both organizations are members of the Regional Housing Advisory Staff Committee.  The City has utilized CDBG for many years to fund job and life-skills training for public housing and Housing Choice Voucher residents and to support improvements to public housing buildings. These activities will continue during this Annual Action Plan. </w:t>
      </w:r>
    </w:p>
    <w:p w14:paraId="6328CA78" w14:textId="77777777" w:rsidR="008607D3" w:rsidRPr="002C1FD9" w:rsidRDefault="000F3005">
      <w:pPr>
        <w:pStyle w:val="Heading2"/>
        <w:pageBreakBefore/>
        <w:widowControl w:val="0"/>
        <w:rPr>
          <w:rFonts w:ascii="Calibri" w:hAnsi="Calibri"/>
          <w:i w:val="0"/>
        </w:rPr>
      </w:pPr>
      <w:r w:rsidRPr="002C1FD9">
        <w:rPr>
          <w:rFonts w:ascii="Calibri" w:hAnsi="Calibri"/>
          <w:i w:val="0"/>
        </w:rPr>
        <w:lastRenderedPageBreak/>
        <w:t>AP-65 Homeless and Other Special Needs Activities – 91.220(</w:t>
      </w:r>
      <w:proofErr w:type="spellStart"/>
      <w:r w:rsidRPr="002C1FD9">
        <w:rPr>
          <w:rFonts w:ascii="Calibri" w:hAnsi="Calibri"/>
          <w:i w:val="0"/>
        </w:rPr>
        <w:t>i</w:t>
      </w:r>
      <w:proofErr w:type="spellEnd"/>
      <w:r w:rsidRPr="002C1FD9">
        <w:rPr>
          <w:rFonts w:ascii="Calibri" w:hAnsi="Calibri"/>
          <w:i w:val="0"/>
        </w:rPr>
        <w:t>)</w:t>
      </w:r>
    </w:p>
    <w:p w14:paraId="5C76D4D3" w14:textId="77777777" w:rsidR="008607D3" w:rsidRPr="002C1FD9" w:rsidRDefault="000F3005">
      <w:pPr>
        <w:keepNext/>
        <w:widowControl w:val="0"/>
        <w:spacing w:line="204" w:lineRule="auto"/>
        <w:rPr>
          <w:b/>
          <w:sz w:val="24"/>
          <w:szCs w:val="24"/>
        </w:rPr>
      </w:pPr>
      <w:r w:rsidRPr="002C1FD9">
        <w:rPr>
          <w:b/>
          <w:sz w:val="24"/>
          <w:szCs w:val="24"/>
        </w:rPr>
        <w:t>Introduction</w:t>
      </w:r>
    </w:p>
    <w:p w14:paraId="7162307C" w14:textId="77777777" w:rsidR="008607D3" w:rsidRPr="002C1FD9" w:rsidRDefault="000F3005">
      <w:pPr>
        <w:keepNext/>
        <w:widowControl w:val="0"/>
        <w:spacing w:beforeAutospacing="1" w:afterAutospacing="1"/>
        <w:rPr>
          <w:rFonts w:cs="Arial"/>
        </w:rPr>
      </w:pPr>
      <w:r w:rsidRPr="002C1FD9">
        <w:rPr>
          <w:rFonts w:cs="Arial"/>
        </w:rPr>
        <w:t xml:space="preserve">The Central Illinois Continuum of Care is in the process of creating a new Strategic Plan for the next 3 years. We are in the beginning of that process. We plan to determine the specifics for each hub area, including McLean County. We will determine the challenges and barriers to homeless services and permanent stable housing, figure out what our goals are, and implement an action plan based on our collected data. Information regarding the Strategic Plan will come from important stakeholders in the Continuum as well as from those experiencing homelessness. For the latter, we will use consumer surveys to collect data as well as casual conversations to determine if the current arrangement of services are helping clients move on to stability in their lives. </w:t>
      </w:r>
    </w:p>
    <w:p w14:paraId="033AF130" w14:textId="029CD172" w:rsidR="008E2560" w:rsidRPr="002C1FD9" w:rsidRDefault="4CD2F424" w:rsidP="4CD2F424">
      <w:pPr>
        <w:keepNext/>
        <w:widowControl w:val="0"/>
        <w:spacing w:beforeAutospacing="1" w:afterAutospacing="1"/>
        <w:rPr>
          <w:sz w:val="24"/>
          <w:szCs w:val="24"/>
        </w:rPr>
      </w:pPr>
      <w:r w:rsidRPr="002C1FD9">
        <w:rPr>
          <w:sz w:val="24"/>
          <w:szCs w:val="24"/>
        </w:rPr>
        <w:t xml:space="preserve">No part of AP-65 has been revised as a result </w:t>
      </w:r>
      <w:proofErr w:type="gramStart"/>
      <w:r w:rsidRPr="002C1FD9">
        <w:rPr>
          <w:sz w:val="24"/>
          <w:szCs w:val="24"/>
        </w:rPr>
        <w:t>of  the</w:t>
      </w:r>
      <w:proofErr w:type="gramEnd"/>
      <w:r w:rsidRPr="002C1FD9">
        <w:rPr>
          <w:sz w:val="24"/>
          <w:szCs w:val="24"/>
        </w:rPr>
        <w:t xml:space="preserve"> COVID-19 pandemic. Although the pandemic is clearly having a negative impact on people’s ability to afford housing and/or to remain in their housing, it is not possible at this time to generate accurate statistics as to the extent of the impact on the status of people experiencing or threatened with homelessness. Further, based on a current understanding of the need at local homeless shelters and of funding sources available to specifically address homelessness, the </w:t>
      </w:r>
      <w:r w:rsidR="00612B1E" w:rsidRPr="002C1FD9">
        <w:rPr>
          <w:sz w:val="24"/>
          <w:szCs w:val="24"/>
        </w:rPr>
        <w:t>City</w:t>
      </w:r>
      <w:r w:rsidRPr="002C1FD9">
        <w:rPr>
          <w:sz w:val="24"/>
          <w:szCs w:val="24"/>
        </w:rPr>
        <w:t xml:space="preserve"> and its partnering agencies believe that assistance programs that keep COVID-19-impacted individuals and families in their homes and out of shelters to be the best immediate use of CDBG-CV funding.  </w:t>
      </w:r>
    </w:p>
    <w:p w14:paraId="56BDAFC0" w14:textId="77777777" w:rsidR="008607D3" w:rsidRPr="002C1FD9" w:rsidRDefault="000F3005">
      <w:pPr>
        <w:keepNext/>
        <w:widowControl w:val="0"/>
        <w:rPr>
          <w:b/>
          <w:sz w:val="24"/>
          <w:szCs w:val="24"/>
        </w:rPr>
      </w:pPr>
      <w:r w:rsidRPr="002C1FD9">
        <w:rPr>
          <w:b/>
          <w:sz w:val="24"/>
          <w:szCs w:val="24"/>
        </w:rPr>
        <w:t>Describe the jurisdictions one-year goals and actions for reducing and ending homelessness including</w:t>
      </w:r>
      <w:r w:rsidR="00067151" w:rsidRPr="002C1FD9">
        <w:rPr>
          <w:b/>
          <w:sz w:val="24"/>
          <w:szCs w:val="24"/>
        </w:rPr>
        <w:t>:</w:t>
      </w:r>
    </w:p>
    <w:p w14:paraId="5A9F2F10" w14:textId="77777777" w:rsidR="008607D3" w:rsidRPr="002C1FD9" w:rsidRDefault="000F3005">
      <w:pPr>
        <w:keepNext/>
        <w:widowControl w:val="0"/>
        <w:rPr>
          <w:b/>
          <w:sz w:val="24"/>
          <w:szCs w:val="24"/>
        </w:rPr>
      </w:pPr>
      <w:r w:rsidRPr="002C1FD9">
        <w:rPr>
          <w:b/>
          <w:sz w:val="24"/>
          <w:szCs w:val="24"/>
        </w:rPr>
        <w:t>Reaching out to homeless persons (especially unsheltered persons) and assessing their individual needs</w:t>
      </w:r>
    </w:p>
    <w:p w14:paraId="723C80D5" w14:textId="77777777" w:rsidR="008607D3" w:rsidRPr="002C1FD9" w:rsidRDefault="000F3005">
      <w:pPr>
        <w:keepNext/>
        <w:widowControl w:val="0"/>
        <w:spacing w:beforeAutospacing="1" w:afterAutospacing="1"/>
        <w:rPr>
          <w:rFonts w:cs="Arial"/>
        </w:rPr>
      </w:pPr>
      <w:r w:rsidRPr="002C1FD9">
        <w:rPr>
          <w:rFonts w:cs="Arial"/>
        </w:rPr>
        <w:t xml:space="preserve">Through the Homeless Services CDBG program with the City of Bloomington, PATH reaches out to individuals and families experiencing homelessness that are unsheltered and in emergency shelters. Annually, the goal is to come in contact and assist 200 individuals and families per year. This involves making referrals to other agencies in the community and helping clients obtain work clothing once employment has been verified. Additionally, 80 people per year will get housing information and guidance. PATH keeps an up-to-date list of rental units in the community, which we are able to provide to clients that have an income and saving some money, especially when at an emergency shelter. While we talk about housing issues with all clients, at certain times we are able to be more specific about housing information guidance for those that are closer to becoming housed. Other actions about PATH’s outreach team is to determine the barriers and challenges faced by unsheltered clients and provide this </w:t>
      </w:r>
      <w:r w:rsidRPr="002C1FD9">
        <w:rPr>
          <w:rFonts w:cs="Arial"/>
        </w:rPr>
        <w:lastRenderedPageBreak/>
        <w:t xml:space="preserve">information to the </w:t>
      </w:r>
      <w:proofErr w:type="spellStart"/>
      <w:r w:rsidRPr="002C1FD9">
        <w:rPr>
          <w:rFonts w:cs="Arial"/>
        </w:rPr>
        <w:t>CoC</w:t>
      </w:r>
      <w:proofErr w:type="spellEnd"/>
      <w:r w:rsidRPr="002C1FD9">
        <w:rPr>
          <w:rFonts w:cs="Arial"/>
        </w:rPr>
        <w:t xml:space="preserve"> to determine if and how services should take these factors into account. </w:t>
      </w:r>
    </w:p>
    <w:p w14:paraId="35ED882A" w14:textId="77777777" w:rsidR="008607D3" w:rsidRPr="002C1FD9" w:rsidRDefault="000F3005">
      <w:pPr>
        <w:keepNext/>
        <w:widowControl w:val="0"/>
        <w:rPr>
          <w:b/>
          <w:sz w:val="24"/>
          <w:szCs w:val="24"/>
        </w:rPr>
      </w:pPr>
      <w:r w:rsidRPr="002C1FD9">
        <w:rPr>
          <w:b/>
          <w:sz w:val="24"/>
          <w:szCs w:val="24"/>
        </w:rPr>
        <w:t>Addressing the emergency shelter and transitional housing needs of homeless persons</w:t>
      </w:r>
    </w:p>
    <w:p w14:paraId="57007047" w14:textId="77777777" w:rsidR="008607D3" w:rsidRPr="002C1FD9" w:rsidRDefault="000F3005">
      <w:pPr>
        <w:keepNext/>
        <w:widowControl w:val="0"/>
        <w:spacing w:beforeAutospacing="1" w:afterAutospacing="1"/>
        <w:rPr>
          <w:rFonts w:cs="Arial"/>
        </w:rPr>
      </w:pPr>
      <w:r w:rsidRPr="002C1FD9">
        <w:rPr>
          <w:rFonts w:cs="Arial"/>
        </w:rPr>
        <w:t xml:space="preserve">Consumer Surveys at emergency shelters and transitional housing projects are an important way to get information about the needs of clients. Needs are also identified during case management. The Consumer Survey has been updated and will be implemented during the 2020 Program Year, Annually, the emergency shelters’ goals are to provide effective case management to all clients staying at their shelter. The goals in case management vary as the specific needs of clients vary but nearly always include referral to services and public benefits.  Anyone experiencing homelessness in emergency shelter or transitional housing may receive assistance from PATH’s outreach team. This team also helps connect clients with resources and benefits.  Staff continue to recruit non-ESG and/or </w:t>
      </w:r>
      <w:proofErr w:type="spellStart"/>
      <w:r w:rsidRPr="002C1FD9">
        <w:rPr>
          <w:rFonts w:cs="Arial"/>
        </w:rPr>
        <w:t>CoC</w:t>
      </w:r>
      <w:proofErr w:type="spellEnd"/>
      <w:r w:rsidRPr="002C1FD9">
        <w:rPr>
          <w:rFonts w:cs="Arial"/>
        </w:rPr>
        <w:t xml:space="preserve"> funded agencies to engage with the </w:t>
      </w:r>
      <w:proofErr w:type="spellStart"/>
      <w:r w:rsidRPr="002C1FD9">
        <w:rPr>
          <w:rFonts w:cs="Arial"/>
        </w:rPr>
        <w:t>CoC</w:t>
      </w:r>
      <w:proofErr w:type="spellEnd"/>
      <w:r w:rsidRPr="002C1FD9">
        <w:rPr>
          <w:rFonts w:cs="Arial"/>
        </w:rPr>
        <w:t xml:space="preserve">.  This would allow the </w:t>
      </w:r>
      <w:proofErr w:type="spellStart"/>
      <w:r w:rsidRPr="002C1FD9">
        <w:rPr>
          <w:rFonts w:cs="Arial"/>
        </w:rPr>
        <w:t>CoC</w:t>
      </w:r>
      <w:proofErr w:type="spellEnd"/>
      <w:r w:rsidRPr="002C1FD9">
        <w:rPr>
          <w:rFonts w:cs="Arial"/>
        </w:rPr>
        <w:t xml:space="preserve"> to determine the specific needs of their clients and have a more accurate and complete picture about the needs of those in transitional housing.</w:t>
      </w:r>
    </w:p>
    <w:p w14:paraId="0AC9B145" w14:textId="77777777" w:rsidR="008607D3" w:rsidRPr="002C1FD9" w:rsidRDefault="000F3005">
      <w:pPr>
        <w:keepNext/>
        <w:widowControl w:val="0"/>
        <w:rPr>
          <w:b/>
          <w:sz w:val="24"/>
          <w:szCs w:val="24"/>
        </w:rPr>
      </w:pPr>
      <w:r w:rsidRPr="002C1FD9">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14:paraId="72D1581B" w14:textId="77777777" w:rsidR="008607D3" w:rsidRPr="002C1FD9" w:rsidRDefault="000F3005">
      <w:pPr>
        <w:keepNext/>
        <w:widowControl w:val="0"/>
        <w:spacing w:beforeAutospacing="1" w:afterAutospacing="1"/>
        <w:rPr>
          <w:rFonts w:cs="Arial"/>
        </w:rPr>
      </w:pPr>
      <w:r w:rsidRPr="002C1FD9">
        <w:rPr>
          <w:rFonts w:cs="Arial"/>
        </w:rPr>
        <w:t xml:space="preserve">A current goal of the </w:t>
      </w:r>
      <w:proofErr w:type="spellStart"/>
      <w:r w:rsidRPr="002C1FD9">
        <w:rPr>
          <w:rFonts w:cs="Arial"/>
        </w:rPr>
        <w:t>CoC</w:t>
      </w:r>
      <w:proofErr w:type="spellEnd"/>
      <w:r w:rsidRPr="002C1FD9">
        <w:rPr>
          <w:rFonts w:cs="Arial"/>
        </w:rPr>
        <w:t xml:space="preserve">, as a whole, is to get more programs that are not mandated to follow the Coordinated Entry (CE) to participate in our system. For example, there are several transitional housing programs that are not </w:t>
      </w:r>
      <w:proofErr w:type="spellStart"/>
      <w:r w:rsidRPr="002C1FD9">
        <w:rPr>
          <w:rFonts w:cs="Arial"/>
        </w:rPr>
        <w:t>CoC</w:t>
      </w:r>
      <w:proofErr w:type="spellEnd"/>
      <w:r w:rsidRPr="002C1FD9">
        <w:rPr>
          <w:rFonts w:cs="Arial"/>
        </w:rPr>
        <w:t xml:space="preserve"> or ESG funded that do not pull from the CE Prioritization List. The goal is to get them to participate at a minimum level first. What this means is that they have access to the Prioritization List but can choose whether or not to use it.   Having greater participation in the CE system can help the </w:t>
      </w:r>
      <w:proofErr w:type="spellStart"/>
      <w:r w:rsidRPr="002C1FD9">
        <w:rPr>
          <w:rFonts w:cs="Arial"/>
        </w:rPr>
        <w:t>CoC</w:t>
      </w:r>
      <w:proofErr w:type="spellEnd"/>
      <w:r w:rsidRPr="002C1FD9">
        <w:rPr>
          <w:rFonts w:cs="Arial"/>
        </w:rPr>
        <w:t xml:space="preserve"> house those identified as most vulnerable much faster. Currently, the CE system is hampered by the lack of housing opportunities to which referrals can be made.  </w:t>
      </w:r>
    </w:p>
    <w:p w14:paraId="4933B7F1" w14:textId="77777777" w:rsidR="008607D3" w:rsidRPr="002C1FD9" w:rsidRDefault="000F3005">
      <w:pPr>
        <w:keepNext/>
        <w:widowControl w:val="0"/>
        <w:spacing w:beforeAutospacing="1" w:afterAutospacing="1"/>
        <w:rPr>
          <w:rFonts w:cs="Arial"/>
        </w:rPr>
      </w:pPr>
      <w:r w:rsidRPr="002C1FD9">
        <w:rPr>
          <w:rFonts w:cs="Arial"/>
        </w:rPr>
        <w:t xml:space="preserve">The Central Illinois </w:t>
      </w:r>
      <w:proofErr w:type="spellStart"/>
      <w:r w:rsidRPr="002C1FD9">
        <w:rPr>
          <w:rFonts w:cs="Arial"/>
        </w:rPr>
        <w:t>CoC</w:t>
      </w:r>
      <w:proofErr w:type="spellEnd"/>
      <w:r w:rsidRPr="002C1FD9">
        <w:rPr>
          <w:rFonts w:cs="Arial"/>
        </w:rPr>
        <w:t xml:space="preserve"> also plans on improving its System Performance Measures, as part of their Strategic Plan. This would provide data to better understand how and where improvements are needed in service delivery. </w:t>
      </w:r>
    </w:p>
    <w:p w14:paraId="212D297B" w14:textId="77777777" w:rsidR="008607D3" w:rsidRPr="002C1FD9" w:rsidRDefault="000F3005">
      <w:pPr>
        <w:keepNext/>
        <w:widowControl w:val="0"/>
        <w:rPr>
          <w:b/>
          <w:sz w:val="24"/>
          <w:szCs w:val="24"/>
        </w:rPr>
      </w:pPr>
      <w:r w:rsidRPr="002C1FD9">
        <w:rPr>
          <w:b/>
          <w:sz w:val="24"/>
          <w:szCs w:val="24"/>
        </w:rPr>
        <w:t xml:space="preserve">Helping low-income individuals and families avoid becoming homeless, especially extremely low-income individuals and families and those who are: being discharged from publicly funded institutions and systems of care (such as health care facilities, mental health facilities, foster care and other youth facilities, and corrections programs and institutions); or, receiving assistance from public or private agencies that address housing, health, social services, </w:t>
      </w:r>
      <w:r w:rsidRPr="002C1FD9">
        <w:rPr>
          <w:b/>
          <w:sz w:val="24"/>
          <w:szCs w:val="24"/>
        </w:rPr>
        <w:lastRenderedPageBreak/>
        <w:t>employment, education, or youth needs.</w:t>
      </w:r>
    </w:p>
    <w:p w14:paraId="399CC774" w14:textId="77777777" w:rsidR="008607D3" w:rsidRPr="002C1FD9" w:rsidRDefault="000F3005">
      <w:pPr>
        <w:keepNext/>
        <w:widowControl w:val="0"/>
        <w:spacing w:beforeAutospacing="1" w:afterAutospacing="1"/>
        <w:rPr>
          <w:rFonts w:cs="Arial"/>
          <w:szCs w:val="26"/>
        </w:rPr>
      </w:pPr>
      <w:r w:rsidRPr="002C1FD9">
        <w:rPr>
          <w:rFonts w:cs="Arial"/>
        </w:rPr>
        <w:t xml:space="preserve">The goal of all </w:t>
      </w:r>
      <w:proofErr w:type="spellStart"/>
      <w:r w:rsidRPr="002C1FD9">
        <w:rPr>
          <w:rFonts w:cs="Arial"/>
        </w:rPr>
        <w:t>CoC</w:t>
      </w:r>
      <w:proofErr w:type="spellEnd"/>
      <w:r w:rsidRPr="002C1FD9">
        <w:rPr>
          <w:rFonts w:cs="Arial"/>
        </w:rPr>
        <w:t xml:space="preserve"> and ESG funded activities is to connect clients to appropriate services. So even if they enter into the CE system at the wrong place, they are given a referral to connect with the right resources for their given needs. That may be a referral to the Salvation Army, PATH’s Homeless Services, or PATH’s 211 call center. Our current goal in the </w:t>
      </w:r>
      <w:proofErr w:type="spellStart"/>
      <w:r w:rsidRPr="002C1FD9">
        <w:rPr>
          <w:rFonts w:cs="Arial"/>
        </w:rPr>
        <w:t>CoC</w:t>
      </w:r>
      <w:proofErr w:type="spellEnd"/>
      <w:r w:rsidRPr="002C1FD9">
        <w:rPr>
          <w:rFonts w:cs="Arial"/>
        </w:rPr>
        <w:t xml:space="preserve"> is to strengthen our partnerships with agencies that discharge clients (e.g., health care facilities, mental health, corrections). Currently, those referrals are made from discharging institutions, but a greater effort is being made to get them knowledgeable about </w:t>
      </w:r>
      <w:proofErr w:type="spellStart"/>
      <w:r w:rsidRPr="002C1FD9">
        <w:rPr>
          <w:rFonts w:cs="Arial"/>
        </w:rPr>
        <w:t>CoC</w:t>
      </w:r>
      <w:proofErr w:type="spellEnd"/>
      <w:r w:rsidRPr="002C1FD9">
        <w:rPr>
          <w:rFonts w:cs="Arial"/>
        </w:rPr>
        <w:t xml:space="preserve"> policy and to find gaps in services or determine if certain referrals are not successful.  </w:t>
      </w:r>
    </w:p>
    <w:p w14:paraId="386438F4" w14:textId="77777777" w:rsidR="008607D3" w:rsidRPr="002C1FD9" w:rsidRDefault="000F3005">
      <w:pPr>
        <w:keepNext/>
        <w:widowControl w:val="0"/>
        <w:spacing w:line="204" w:lineRule="auto"/>
        <w:rPr>
          <w:b/>
          <w:sz w:val="24"/>
          <w:szCs w:val="24"/>
        </w:rPr>
      </w:pPr>
      <w:r w:rsidRPr="002C1FD9">
        <w:rPr>
          <w:b/>
          <w:sz w:val="24"/>
          <w:szCs w:val="24"/>
        </w:rPr>
        <w:t>Discussion</w:t>
      </w:r>
    </w:p>
    <w:p w14:paraId="4D08B04A" w14:textId="77777777" w:rsidR="008607D3" w:rsidRPr="002C1FD9" w:rsidRDefault="000F3005">
      <w:pPr>
        <w:keepNext/>
        <w:widowControl w:val="0"/>
        <w:spacing w:beforeAutospacing="1" w:afterAutospacing="1"/>
        <w:rPr>
          <w:b/>
          <w:sz w:val="24"/>
          <w:szCs w:val="24"/>
        </w:rPr>
      </w:pPr>
      <w:r w:rsidRPr="002C1FD9">
        <w:rPr>
          <w:rFonts w:cs="Arial"/>
        </w:rPr>
        <w:t xml:space="preserve">The Central Illinois </w:t>
      </w:r>
      <w:proofErr w:type="spellStart"/>
      <w:r w:rsidRPr="002C1FD9">
        <w:rPr>
          <w:rFonts w:cs="Arial"/>
        </w:rPr>
        <w:t>CoC</w:t>
      </w:r>
      <w:proofErr w:type="spellEnd"/>
      <w:r w:rsidRPr="002C1FD9">
        <w:rPr>
          <w:rFonts w:cs="Arial"/>
        </w:rPr>
        <w:t xml:space="preserve"> is starting to work on a new Strategic Plan. With new leadership in the Continuum, it is working to determine gaps in services, what works, and what does not. Baseline data will be collected to better determine where things are at and that can be used to determine how to move forward. New goals and expectations will be implemented. As a result of this, the </w:t>
      </w:r>
      <w:proofErr w:type="spellStart"/>
      <w:r w:rsidRPr="002C1FD9">
        <w:rPr>
          <w:rFonts w:cs="Arial"/>
        </w:rPr>
        <w:t>CoC</w:t>
      </w:r>
      <w:proofErr w:type="spellEnd"/>
      <w:r w:rsidRPr="002C1FD9">
        <w:rPr>
          <w:rFonts w:cs="Arial"/>
        </w:rPr>
        <w:t xml:space="preserve"> will determine how to best allocate limited funds to help alleviate and end homelessness in the Bloomington-Normal area. </w:t>
      </w:r>
    </w:p>
    <w:p w14:paraId="75CF4315" w14:textId="77777777" w:rsidR="008607D3" w:rsidRPr="002C1FD9" w:rsidRDefault="008607D3">
      <w:pPr>
        <w:keepNext/>
        <w:widowControl w:val="0"/>
        <w:spacing w:after="0" w:line="240" w:lineRule="auto"/>
        <w:jc w:val="center"/>
        <w:rPr>
          <w:rFonts w:cs="Arial"/>
        </w:rPr>
      </w:pPr>
    </w:p>
    <w:p w14:paraId="19A18C34" w14:textId="77777777" w:rsidR="008607D3" w:rsidRPr="002C1FD9" w:rsidRDefault="000F3005">
      <w:pPr>
        <w:pStyle w:val="Heading2"/>
        <w:pageBreakBefore/>
        <w:widowControl w:val="0"/>
        <w:rPr>
          <w:rFonts w:ascii="Calibri" w:hAnsi="Calibri"/>
          <w:i w:val="0"/>
        </w:rPr>
      </w:pPr>
      <w:r w:rsidRPr="002C1FD9">
        <w:rPr>
          <w:rFonts w:ascii="Calibri" w:hAnsi="Calibri"/>
          <w:i w:val="0"/>
        </w:rPr>
        <w:lastRenderedPageBreak/>
        <w:t>AP-75 Barriers to affordable housing – 91.220(j)</w:t>
      </w:r>
    </w:p>
    <w:p w14:paraId="2A769D13" w14:textId="77777777" w:rsidR="008607D3" w:rsidRPr="002C1FD9" w:rsidRDefault="000F3005">
      <w:pPr>
        <w:keepNext/>
        <w:widowControl w:val="0"/>
        <w:spacing w:line="204" w:lineRule="auto"/>
        <w:rPr>
          <w:b/>
          <w:sz w:val="24"/>
          <w:szCs w:val="24"/>
        </w:rPr>
      </w:pPr>
      <w:r w:rsidRPr="002C1FD9">
        <w:rPr>
          <w:b/>
          <w:sz w:val="24"/>
          <w:szCs w:val="24"/>
        </w:rPr>
        <w:t xml:space="preserve">Introduction: </w:t>
      </w:r>
    </w:p>
    <w:p w14:paraId="79FDCB48" w14:textId="77777777" w:rsidR="008607D3" w:rsidRPr="002C1FD9" w:rsidRDefault="000F3005">
      <w:pPr>
        <w:keepNext/>
        <w:widowControl w:val="0"/>
        <w:spacing w:beforeAutospacing="1" w:afterAutospacing="1"/>
        <w:rPr>
          <w:b/>
          <w:sz w:val="24"/>
          <w:szCs w:val="24"/>
        </w:rPr>
      </w:pPr>
      <w:r w:rsidRPr="002C1FD9">
        <w:rPr>
          <w:rFonts w:cs="Arial"/>
        </w:rPr>
        <w:t>The City strives to eliminate barriers to affordable housing throughout this Annual Action Plan and beyond.  Affordable housing issues are addressed throughout several projects to be implemented during the first year of the 2020-2024 Consolidated Plan period.  Staff will continue to seek new opportunities beyond those discussed below. </w:t>
      </w:r>
    </w:p>
    <w:p w14:paraId="3EFA6F0B" w14:textId="77777777" w:rsidR="008607D3" w:rsidRPr="002C1FD9" w:rsidRDefault="000F3005">
      <w:pPr>
        <w:keepNext/>
        <w:widowControl w:val="0"/>
        <w:rPr>
          <w:b/>
          <w:sz w:val="24"/>
          <w:szCs w:val="24"/>
        </w:rPr>
      </w:pPr>
      <w:r w:rsidRPr="002C1FD9">
        <w:rPr>
          <w:b/>
          <w:sz w:val="24"/>
          <w:szCs w:val="24"/>
        </w:rPr>
        <w:t>Actions it planned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w:t>
      </w:r>
    </w:p>
    <w:p w14:paraId="000209D6" w14:textId="77777777" w:rsidR="008607D3" w:rsidRPr="002C1FD9" w:rsidRDefault="000F3005">
      <w:pPr>
        <w:keepNext/>
        <w:widowControl w:val="0"/>
        <w:spacing w:beforeAutospacing="1" w:afterAutospacing="1"/>
        <w:rPr>
          <w:rFonts w:cs="Arial"/>
        </w:rPr>
      </w:pPr>
      <w:r w:rsidRPr="002C1FD9">
        <w:rPr>
          <w:rFonts w:cs="Arial"/>
        </w:rPr>
        <w:t xml:space="preserve">The City operates homeowner housing rehabilitation programs for low- and moderate-income income residents.  These programs help </w:t>
      </w:r>
      <w:r w:rsidR="007B2486" w:rsidRPr="002C1FD9">
        <w:rPr>
          <w:rFonts w:cs="Arial"/>
        </w:rPr>
        <w:t>homeowner’s</w:t>
      </w:r>
      <w:r w:rsidRPr="002C1FD9">
        <w:rPr>
          <w:rFonts w:cs="Arial"/>
        </w:rPr>
        <w:t xml:space="preserve"> complete critical repairs to their homes.  Many homeowners can afford their regular monthly expenses but are unable to pay for large ticket items.  By offering 0% interest terms under deferred payment and five-year forgivable loans, homeowners can maintain the affordability of their current housing.  </w:t>
      </w:r>
    </w:p>
    <w:p w14:paraId="3C497538" w14:textId="77777777" w:rsidR="008607D3" w:rsidRPr="002C1FD9" w:rsidRDefault="000F3005">
      <w:pPr>
        <w:keepNext/>
        <w:widowControl w:val="0"/>
        <w:spacing w:beforeAutospacing="1" w:afterAutospacing="1"/>
        <w:rPr>
          <w:rFonts w:cs="Arial"/>
        </w:rPr>
      </w:pPr>
      <w:r w:rsidRPr="002C1FD9">
        <w:rPr>
          <w:rFonts w:cs="Arial"/>
        </w:rPr>
        <w:t>The City waives all building permit and inspection fees for any non-profit organization building or rehabilitating affordable housing for low- and moderate-income residents.  This policy extends to all private contractors performing rehabilitation work under CDBG- or IHDA-funded projects.</w:t>
      </w:r>
      <w:r w:rsidRPr="002C1FD9">
        <w:rPr>
          <w:rFonts w:cs="Arial"/>
          <w:b/>
        </w:rPr>
        <w:t xml:space="preserve">   </w:t>
      </w:r>
    </w:p>
    <w:p w14:paraId="1A26AB0C" w14:textId="77777777" w:rsidR="008607D3" w:rsidRPr="002C1FD9" w:rsidRDefault="000F3005">
      <w:pPr>
        <w:keepNext/>
        <w:widowControl w:val="0"/>
        <w:spacing w:beforeAutospacing="1" w:afterAutospacing="1"/>
        <w:rPr>
          <w:rFonts w:cs="Arial"/>
        </w:rPr>
      </w:pPr>
      <w:r w:rsidRPr="002C1FD9">
        <w:rPr>
          <w:rFonts w:cs="Arial"/>
        </w:rPr>
        <w:t xml:space="preserve">In August 2015, the City of Bloomington adopted its current Comprehensive Plan with goals aimed at reducing barriers to affordable housing. While the Plan is not policy, it serves as a guide for policy decisions. In 2016, the City began the process of updating the Zoning Ordinance, adopted in 1960, to incorporate recommendations from the Comprehensive Plan. The ordinance regulates development and protects the health, safety and welfare of the public. During the update process, the City evaluated lot sizes, densities, and uses that may influence a buyer’s ability to finance a home, the quality of housing stock in the City, and resident proximity to resources. The Comprehensive Plan encourages future infill-development opportunities and provides a tiered system for prioritizing development.  </w:t>
      </w:r>
    </w:p>
    <w:p w14:paraId="30D6AE6D" w14:textId="77777777" w:rsidR="008607D3" w:rsidRPr="002C1FD9" w:rsidRDefault="000F3005">
      <w:pPr>
        <w:keepNext/>
        <w:widowControl w:val="0"/>
        <w:spacing w:beforeAutospacing="1" w:afterAutospacing="1"/>
        <w:rPr>
          <w:rFonts w:cs="Arial"/>
        </w:rPr>
      </w:pPr>
      <w:r w:rsidRPr="002C1FD9">
        <w:rPr>
          <w:rFonts w:cs="Arial"/>
        </w:rPr>
        <w:t xml:space="preserve">During the outreach process for this Plan, the development of a Landlord Loss Program was mentioned frequently.  The City is currently exploring this idea for possible implementation in the future.  Landlords willing to rent to high risk renters meeting income guidelines would have access to funding to perform repairs if damages occur and/or rent payments if rent is in arrears.  It is unclear at this time how such a program would operate or if it is feasible with available resources.  </w:t>
      </w:r>
    </w:p>
    <w:p w14:paraId="6DCBF3C1" w14:textId="77777777" w:rsidR="008607D3" w:rsidRPr="002C1FD9" w:rsidRDefault="000F3005">
      <w:pPr>
        <w:keepNext/>
        <w:widowControl w:val="0"/>
        <w:spacing w:beforeAutospacing="1" w:afterAutospacing="1"/>
        <w:rPr>
          <w:rFonts w:cs="Arial"/>
        </w:rPr>
      </w:pPr>
      <w:r w:rsidRPr="002C1FD9">
        <w:rPr>
          <w:rFonts w:cs="Arial"/>
        </w:rPr>
        <w:t xml:space="preserve">Low Income Housing Tax Credits (LIHTC) are one tool developers use to lower the cost of developing housing affordable. The application process for LIHTC if very competitive with a limited number of projects approved annually.  The Regional Housing Staff Committee has met with the Local Initiatives </w:t>
      </w:r>
      <w:r w:rsidRPr="002C1FD9">
        <w:rPr>
          <w:rFonts w:cs="Arial"/>
        </w:rPr>
        <w:lastRenderedPageBreak/>
        <w:t xml:space="preserve">Support Corporation (LISC) and IHDA to discuss ways to assist developers with the LIHTC application process to increase the likelihood of LIHTC awards in our community.  When a LIHTC application is selected to move to Step 2 of the approval process, the developer must obtain a Certificate of Consistency with the Consolidated Plan from the City's Community Development Department.  If requested, the City may also provide a mayoral letter of support for the project.  </w:t>
      </w:r>
    </w:p>
    <w:p w14:paraId="620DC366" w14:textId="77777777" w:rsidR="008607D3" w:rsidRPr="002C1FD9" w:rsidRDefault="000F3005">
      <w:pPr>
        <w:keepNext/>
        <w:widowControl w:val="0"/>
        <w:spacing w:beforeAutospacing="1" w:afterAutospacing="1"/>
        <w:rPr>
          <w:rFonts w:cs="Arial"/>
        </w:rPr>
      </w:pPr>
      <w:r w:rsidRPr="002C1FD9">
        <w:rPr>
          <w:rFonts w:cs="Arial"/>
        </w:rPr>
        <w:t xml:space="preserve">The Staff Committee is working with LISC to develop a plan to preserve existing LITHC and Project-Based Rental Assistance (PRBA) units.  An inventory of income-qualified housing units supported by programs, such as LIHTC and PBRA, was created in 2019 to assist with tracking contract expiration dates.   The Committee’s next step is to develop a strategy for the preservation of these units.  </w:t>
      </w:r>
    </w:p>
    <w:p w14:paraId="439A076A" w14:textId="77777777" w:rsidR="008607D3" w:rsidRPr="002C1FD9" w:rsidRDefault="000F3005">
      <w:pPr>
        <w:keepNext/>
        <w:widowControl w:val="0"/>
        <w:spacing w:line="204" w:lineRule="auto"/>
        <w:rPr>
          <w:b/>
          <w:sz w:val="24"/>
          <w:szCs w:val="24"/>
        </w:rPr>
      </w:pPr>
      <w:r w:rsidRPr="002C1FD9">
        <w:rPr>
          <w:b/>
          <w:sz w:val="24"/>
          <w:szCs w:val="24"/>
        </w:rPr>
        <w:t xml:space="preserve">Discussion: </w:t>
      </w:r>
    </w:p>
    <w:p w14:paraId="41CBEE81" w14:textId="77777777" w:rsidR="008607D3" w:rsidRPr="002C1FD9" w:rsidRDefault="000F3005">
      <w:pPr>
        <w:keepNext/>
        <w:widowControl w:val="0"/>
        <w:spacing w:beforeAutospacing="1" w:afterAutospacing="1"/>
        <w:rPr>
          <w:b/>
          <w:sz w:val="24"/>
          <w:szCs w:val="24"/>
        </w:rPr>
      </w:pPr>
      <w:r w:rsidRPr="002C1FD9">
        <w:rPr>
          <w:rFonts w:cs="Arial"/>
        </w:rPr>
        <w:t>The City will continue to look at policy changes and other programs than can further reduce barriers to affordable housing.</w:t>
      </w:r>
    </w:p>
    <w:p w14:paraId="1BABB80C" w14:textId="77777777" w:rsidR="008607D3" w:rsidRPr="002C1FD9" w:rsidRDefault="000F3005">
      <w:pPr>
        <w:pStyle w:val="Heading2"/>
        <w:pageBreakBefore/>
        <w:widowControl w:val="0"/>
        <w:rPr>
          <w:rFonts w:ascii="Calibri" w:hAnsi="Calibri"/>
          <w:i w:val="0"/>
        </w:rPr>
      </w:pPr>
      <w:r w:rsidRPr="002C1FD9">
        <w:rPr>
          <w:rFonts w:ascii="Calibri" w:hAnsi="Calibri"/>
          <w:i w:val="0"/>
        </w:rPr>
        <w:lastRenderedPageBreak/>
        <w:t>AP-85 Other Actions – 91.220(k)</w:t>
      </w:r>
    </w:p>
    <w:p w14:paraId="3841BC0F" w14:textId="77777777" w:rsidR="008607D3" w:rsidRPr="002C1FD9" w:rsidRDefault="000F3005">
      <w:pPr>
        <w:keepNext/>
        <w:widowControl w:val="0"/>
        <w:spacing w:line="204" w:lineRule="auto"/>
        <w:rPr>
          <w:b/>
          <w:sz w:val="24"/>
          <w:szCs w:val="24"/>
        </w:rPr>
      </w:pPr>
      <w:r w:rsidRPr="002C1FD9">
        <w:rPr>
          <w:b/>
          <w:sz w:val="24"/>
          <w:szCs w:val="24"/>
        </w:rPr>
        <w:t xml:space="preserve">Introduction: </w:t>
      </w:r>
    </w:p>
    <w:p w14:paraId="57A08119" w14:textId="77777777" w:rsidR="008607D3" w:rsidRPr="002C1FD9" w:rsidRDefault="000F3005">
      <w:pPr>
        <w:keepNext/>
        <w:widowControl w:val="0"/>
        <w:spacing w:beforeAutospacing="1" w:afterAutospacing="1"/>
        <w:rPr>
          <w:b/>
          <w:sz w:val="24"/>
          <w:szCs w:val="24"/>
        </w:rPr>
      </w:pPr>
      <w:r w:rsidRPr="002C1FD9">
        <w:rPr>
          <w:rFonts w:cs="Arial"/>
        </w:rPr>
        <w:t>The City endeavors to plan its annual program based on how to best meet the needs of the community while staying within the federal regulations for the Community Development Block Grant.  When services are needed but cannot be provided directly by the City, partnerships are created/maintained to ensure the services are available to those most in need.</w:t>
      </w:r>
    </w:p>
    <w:p w14:paraId="44EC93BB" w14:textId="77777777" w:rsidR="008607D3" w:rsidRPr="002C1FD9" w:rsidRDefault="000F3005">
      <w:pPr>
        <w:keepNext/>
        <w:widowControl w:val="0"/>
        <w:rPr>
          <w:b/>
          <w:sz w:val="24"/>
          <w:szCs w:val="24"/>
        </w:rPr>
      </w:pPr>
      <w:r w:rsidRPr="002C1FD9">
        <w:rPr>
          <w:b/>
          <w:sz w:val="24"/>
          <w:szCs w:val="24"/>
        </w:rPr>
        <w:t>Actions planned to address obstacles to meeting underserved needs</w:t>
      </w:r>
    </w:p>
    <w:p w14:paraId="6CD8B253" w14:textId="77777777" w:rsidR="008607D3" w:rsidRPr="002C1FD9" w:rsidRDefault="000F3005">
      <w:pPr>
        <w:keepNext/>
        <w:widowControl w:val="0"/>
        <w:spacing w:beforeAutospacing="1" w:afterAutospacing="1"/>
        <w:rPr>
          <w:rFonts w:cs="Arial"/>
        </w:rPr>
      </w:pPr>
      <w:r w:rsidRPr="002C1FD9">
        <w:rPr>
          <w:rFonts w:cs="Arial"/>
        </w:rPr>
        <w:t xml:space="preserve">The City always maximizes its funding to public services so that as many agencies serving vulnerable populations as possible are supported. Staff continue to look for funding resources outside of CDBG to </w:t>
      </w:r>
      <w:r w:rsidR="00067151" w:rsidRPr="002C1FD9">
        <w:rPr>
          <w:rFonts w:cs="Arial"/>
        </w:rPr>
        <w:t>further</w:t>
      </w:r>
      <w:r w:rsidRPr="002C1FD9">
        <w:rPr>
          <w:rFonts w:cs="Arial"/>
        </w:rPr>
        <w:t xml:space="preserve"> address the needs of special populations such as disabled and elderly homeowners.  The 2020-2024 Consolidated Plan and this Annual Action Plan priority resources for West Bloomington residents.</w:t>
      </w:r>
    </w:p>
    <w:p w14:paraId="096C293C" w14:textId="77777777" w:rsidR="008607D3" w:rsidRPr="002C1FD9" w:rsidRDefault="000F3005">
      <w:pPr>
        <w:keepNext/>
        <w:widowControl w:val="0"/>
        <w:spacing w:beforeAutospacing="1" w:afterAutospacing="1"/>
        <w:rPr>
          <w:rFonts w:cs="Arial"/>
        </w:rPr>
      </w:pPr>
      <w:r w:rsidRPr="002C1FD9">
        <w:rPr>
          <w:rFonts w:cs="Arial"/>
        </w:rPr>
        <w:t xml:space="preserve">Staff will continue to serve on committees and work groups that address the housing needs of low and moderate income families. The City will remain the fiscal agent for the McLean County Continuum of Care, which addresses the needs of the City's homeless. The John M. Scott Health Care Trust provides funding to local service providers to ensure individuals without adequate, affordable healthcare have access to quality health services.  The City's Grants Coordinator serves as the Staff Administrator to the Trust, a liaison between the John M. Scott Commission and the City.  In FY2020/FY2021, the Commission, with Trustee approval, awarded more than $500,000 in grants to local agencies providing health care services to the underserved.  </w:t>
      </w:r>
    </w:p>
    <w:p w14:paraId="20C7CD12" w14:textId="77777777" w:rsidR="008607D3" w:rsidRPr="002C1FD9" w:rsidRDefault="000F3005">
      <w:pPr>
        <w:keepNext/>
        <w:widowControl w:val="0"/>
        <w:rPr>
          <w:b/>
          <w:sz w:val="24"/>
          <w:szCs w:val="24"/>
        </w:rPr>
      </w:pPr>
      <w:r w:rsidRPr="002C1FD9">
        <w:rPr>
          <w:b/>
          <w:sz w:val="24"/>
          <w:szCs w:val="24"/>
        </w:rPr>
        <w:t>Actions planned to foster and maintain affordable housing</w:t>
      </w:r>
    </w:p>
    <w:p w14:paraId="62B3E096" w14:textId="77777777" w:rsidR="00DE34F8" w:rsidRPr="002C1FD9" w:rsidRDefault="000F3005">
      <w:pPr>
        <w:keepNext/>
        <w:widowControl w:val="0"/>
        <w:spacing w:beforeAutospacing="1" w:afterAutospacing="1"/>
        <w:rPr>
          <w:rFonts w:cs="Arial"/>
        </w:rPr>
      </w:pPr>
      <w:r w:rsidRPr="002C1FD9">
        <w:rPr>
          <w:rFonts w:cs="Arial"/>
        </w:rPr>
        <w:t xml:space="preserve">Preservation of the existing affordable housing stock and creation of new affordable housing through demolition and clearance are high priorities identified within this Annual Action Plan.  In fact, nearly 50% of funding will be dedicated to </w:t>
      </w:r>
      <w:r w:rsidR="00067151" w:rsidRPr="002C1FD9">
        <w:rPr>
          <w:rFonts w:cs="Arial"/>
        </w:rPr>
        <w:t>these</w:t>
      </w:r>
      <w:r w:rsidRPr="002C1FD9">
        <w:rPr>
          <w:rFonts w:cs="Arial"/>
        </w:rPr>
        <w:t xml:space="preserve"> projects.  Additionally, the City will continue its participation in the Regional Housing Staff Advisory Committee and the Affordable and Supportive Housing Committee.  One of the continuing initiatives of the Regional Housing Staff Advisory Committee is to inventory all income-qualified housing in McLean County and track contract expiration dates.  These units are a significant portion of the affordable housing stock, </w:t>
      </w:r>
      <w:r w:rsidR="00067151" w:rsidRPr="002C1FD9">
        <w:rPr>
          <w:rFonts w:cs="Arial"/>
        </w:rPr>
        <w:t>especially</w:t>
      </w:r>
      <w:r w:rsidRPr="002C1FD9">
        <w:rPr>
          <w:rFonts w:cs="Arial"/>
        </w:rPr>
        <w:t xml:space="preserve"> for those households with extremely-low and low-incomes.</w:t>
      </w:r>
    </w:p>
    <w:p w14:paraId="7630CE28" w14:textId="77777777" w:rsidR="008607D3" w:rsidRPr="002C1FD9" w:rsidRDefault="000F3005">
      <w:pPr>
        <w:keepNext/>
        <w:widowControl w:val="0"/>
        <w:rPr>
          <w:b/>
          <w:sz w:val="24"/>
          <w:szCs w:val="24"/>
        </w:rPr>
      </w:pPr>
      <w:r w:rsidRPr="002C1FD9">
        <w:rPr>
          <w:b/>
          <w:sz w:val="24"/>
          <w:szCs w:val="24"/>
        </w:rPr>
        <w:t>Actions planned to reduce lead-based paint hazards</w:t>
      </w:r>
    </w:p>
    <w:p w14:paraId="2F53F2C3" w14:textId="77777777" w:rsidR="008607D3" w:rsidRPr="002C1FD9" w:rsidRDefault="000F3005">
      <w:pPr>
        <w:keepNext/>
        <w:widowControl w:val="0"/>
        <w:spacing w:beforeAutospacing="1" w:afterAutospacing="1"/>
        <w:rPr>
          <w:rFonts w:cs="Arial"/>
        </w:rPr>
      </w:pPr>
      <w:r w:rsidRPr="002C1FD9">
        <w:rPr>
          <w:rFonts w:cs="Arial"/>
        </w:rPr>
        <w:t xml:space="preserve">All CDBG contractors are required to maintain Renovation, Repair and Painting (RRP) certification. The City offers all CDBG approved contractors the opportunity to attend the RRP certification training every five years at no cost to the contractor.  The next training will be held in April 2025.  Additionally, the City's Rehab Specialist will maintain all necessary licenses and certifications to ensure that lead-based </w:t>
      </w:r>
      <w:r w:rsidRPr="002C1FD9">
        <w:rPr>
          <w:rFonts w:cs="Arial"/>
        </w:rPr>
        <w:lastRenderedPageBreak/>
        <w:t xml:space="preserve">paint safety practices and regulations are being strictly adhered to on all CDBG projects.  The Community Development Department will partner with the City's Public Works/Water Department starting May 1, 2020 to offer grants to homeowner to replace lead service lines.  The City is serving as lead agency on a new Healthy Housing Team that will look at lead and other home hazards affecting the health of our residents.  </w:t>
      </w:r>
    </w:p>
    <w:p w14:paraId="4AAFC7D3" w14:textId="77777777" w:rsidR="008607D3" w:rsidRPr="002C1FD9" w:rsidRDefault="000F3005">
      <w:pPr>
        <w:keepNext/>
        <w:widowControl w:val="0"/>
        <w:rPr>
          <w:b/>
          <w:sz w:val="24"/>
          <w:szCs w:val="24"/>
        </w:rPr>
      </w:pPr>
      <w:r w:rsidRPr="002C1FD9">
        <w:rPr>
          <w:b/>
          <w:sz w:val="24"/>
          <w:szCs w:val="24"/>
        </w:rPr>
        <w:t>Actions planned to reduce the number of poverty-level families</w:t>
      </w:r>
    </w:p>
    <w:p w14:paraId="5E3306D5" w14:textId="77777777" w:rsidR="008607D3" w:rsidRPr="002C1FD9" w:rsidRDefault="000F3005">
      <w:pPr>
        <w:keepNext/>
        <w:widowControl w:val="0"/>
        <w:spacing w:beforeAutospacing="1" w:afterAutospacing="1"/>
        <w:rPr>
          <w:rFonts w:cs="Arial"/>
          <w:szCs w:val="26"/>
        </w:rPr>
      </w:pPr>
      <w:r w:rsidRPr="002C1FD9">
        <w:rPr>
          <w:rFonts w:cs="Arial"/>
        </w:rPr>
        <w:t xml:space="preserve">The City will continue to support the Bloomington Housing Authority's job and life-skills training program annually.  The program offers job training and a job fair each year for public housing residents and Housing Choice Voucher recipients.  Past training topics have included Microsoft Office Suite, how to write a resume, interview skills, and money management and budgeting. The training(s) and job fair are designed to foster job and life skills required for the local workforce and increase </w:t>
      </w:r>
      <w:r w:rsidR="007B2486" w:rsidRPr="002C1FD9">
        <w:rPr>
          <w:rFonts w:cs="Arial"/>
        </w:rPr>
        <w:t>face time</w:t>
      </w:r>
      <w:r w:rsidRPr="002C1FD9">
        <w:rPr>
          <w:rFonts w:cs="Arial"/>
        </w:rPr>
        <w:t xml:space="preserve"> with the businesses most likely to employ individuals with those skills.  The City is also supporting Dreams Are Possible with public service dollars.  Dreams Are Possible is a new program that provides low-income women the opportunity to learn a skilled-trade and, thusly, earn a living wage.</w:t>
      </w:r>
    </w:p>
    <w:p w14:paraId="7C86F562" w14:textId="77777777" w:rsidR="008607D3" w:rsidRPr="002C1FD9" w:rsidRDefault="000F3005">
      <w:pPr>
        <w:keepNext/>
        <w:widowControl w:val="0"/>
        <w:spacing w:beforeAutospacing="1" w:afterAutospacing="1"/>
        <w:rPr>
          <w:rFonts w:cs="Arial"/>
          <w:szCs w:val="26"/>
        </w:rPr>
      </w:pPr>
      <w:r w:rsidRPr="002C1FD9">
        <w:rPr>
          <w:rFonts w:cs="Arial"/>
        </w:rPr>
        <w:t>Homeownership is traditionally the greatest source of an individual's wealth. The City's Homeowner Rehabilitation Program provides low and moderate income homeowners the opportunity to preserve their greatest asset.  Income-qualified households can receive assistance through a 0% interest, deferred loan allowing the family to increase the value of their home without increasing their monthly bills.   The City also offers housing rehabilitation through the Illinois Housing Development Authority's (IHDA) Single Family Rehabilitation program.  Through this program, homeowners can receive up to $45,000 in assistance through a 5-year forgivable loan.</w:t>
      </w:r>
    </w:p>
    <w:p w14:paraId="6CED405C" w14:textId="77777777" w:rsidR="008607D3" w:rsidRPr="002C1FD9" w:rsidRDefault="000F3005">
      <w:pPr>
        <w:keepNext/>
        <w:widowControl w:val="0"/>
        <w:rPr>
          <w:b/>
          <w:sz w:val="24"/>
          <w:szCs w:val="24"/>
        </w:rPr>
      </w:pPr>
      <w:r w:rsidRPr="002C1FD9">
        <w:rPr>
          <w:b/>
          <w:sz w:val="24"/>
          <w:szCs w:val="24"/>
        </w:rPr>
        <w:t xml:space="preserve">Actions planned to develop institutional structure </w:t>
      </w:r>
    </w:p>
    <w:p w14:paraId="3F8D9BD4" w14:textId="77777777" w:rsidR="008607D3" w:rsidRPr="002C1FD9" w:rsidRDefault="000F3005">
      <w:pPr>
        <w:keepNext/>
        <w:widowControl w:val="0"/>
        <w:spacing w:beforeAutospacing="1" w:afterAutospacing="1"/>
        <w:rPr>
          <w:rFonts w:cs="Arial"/>
        </w:rPr>
      </w:pPr>
      <w:r w:rsidRPr="002C1FD9">
        <w:rPr>
          <w:rFonts w:cs="Arial"/>
        </w:rPr>
        <w:t>The City is a member of the local Invest Health Team, formed to look at the built environment and how it affects the health and well-being of City residents.   Through this project, the team is looking at a variety of issues affecting the health of residents in the City's 61701 zip code. This area is classified as a food desert and has limited options for healthcare.  Currently, the team is exploring options for increasing access to fresh, healthy foods</w:t>
      </w:r>
      <w:r w:rsidR="00DE34F8" w:rsidRPr="002C1FD9">
        <w:rPr>
          <w:rFonts w:cs="Arial"/>
        </w:rPr>
        <w:t xml:space="preserve">. </w:t>
      </w:r>
      <w:r w:rsidRPr="002C1FD9">
        <w:rPr>
          <w:rFonts w:cs="Arial"/>
        </w:rPr>
        <w:t>Housing has been identified as an area of concern by the Invest Health team as well.  The City was one of six cities in the nation to receive a National League of Cities Healthy Housing Forum technical assistance grant.  Through this opportunity, the City will create an action plan to improve the health of our residents by creating healthier housing.</w:t>
      </w:r>
      <w:r w:rsidR="00DE34F8" w:rsidRPr="002C1FD9" w:rsidDel="00DE34F8">
        <w:rPr>
          <w:rFonts w:cs="Arial"/>
        </w:rPr>
        <w:t xml:space="preserve"> </w:t>
      </w:r>
      <w:r w:rsidRPr="002C1FD9">
        <w:rPr>
          <w:rFonts w:cs="Arial"/>
        </w:rPr>
        <w:t>Staff will continue to foster new partnerships that will improve the institutional delivery structure of CDBG, its priorities and other community development programs.</w:t>
      </w:r>
    </w:p>
    <w:p w14:paraId="6E9DD7CD" w14:textId="77777777" w:rsidR="008607D3" w:rsidRPr="002C1FD9" w:rsidRDefault="000F3005">
      <w:pPr>
        <w:keepNext/>
        <w:widowControl w:val="0"/>
        <w:rPr>
          <w:b/>
          <w:sz w:val="24"/>
          <w:szCs w:val="24"/>
        </w:rPr>
      </w:pPr>
      <w:r w:rsidRPr="002C1FD9">
        <w:rPr>
          <w:b/>
          <w:sz w:val="24"/>
          <w:szCs w:val="24"/>
        </w:rPr>
        <w:t xml:space="preserve">Actions planned to enhance coordination between public and private housing and social </w:t>
      </w:r>
      <w:r w:rsidRPr="002C1FD9">
        <w:rPr>
          <w:b/>
          <w:sz w:val="24"/>
          <w:szCs w:val="24"/>
        </w:rPr>
        <w:lastRenderedPageBreak/>
        <w:t>service agencies</w:t>
      </w:r>
    </w:p>
    <w:p w14:paraId="3CCE4B4A" w14:textId="77777777" w:rsidR="008E2560" w:rsidRPr="002C1FD9" w:rsidRDefault="000F3005">
      <w:pPr>
        <w:keepNext/>
        <w:widowControl w:val="0"/>
        <w:spacing w:beforeAutospacing="1" w:afterAutospacing="1"/>
        <w:rPr>
          <w:rFonts w:cs="Arial"/>
        </w:rPr>
      </w:pPr>
      <w:r w:rsidRPr="002C1FD9">
        <w:rPr>
          <w:rFonts w:cs="Arial"/>
        </w:rPr>
        <w:t xml:space="preserve">The City will continue to support the McLean County Continuum of Care, which consists of representatives from social service agencies and public housing. As a member of the Regional Housing Staff Advisory Committee, the City participates in a variety of initiatives designed to increase communication between all types of housing and service providers. </w:t>
      </w:r>
    </w:p>
    <w:p w14:paraId="0A126F70" w14:textId="77777777" w:rsidR="008607D3" w:rsidRPr="002C1FD9" w:rsidRDefault="000F3005">
      <w:pPr>
        <w:keepNext/>
        <w:widowControl w:val="0"/>
        <w:spacing w:line="204" w:lineRule="auto"/>
        <w:rPr>
          <w:b/>
          <w:sz w:val="24"/>
          <w:szCs w:val="24"/>
        </w:rPr>
      </w:pPr>
      <w:r w:rsidRPr="002C1FD9">
        <w:rPr>
          <w:b/>
          <w:sz w:val="24"/>
          <w:szCs w:val="24"/>
        </w:rPr>
        <w:t xml:space="preserve">Discussion: </w:t>
      </w:r>
    </w:p>
    <w:p w14:paraId="697606BD" w14:textId="77777777" w:rsidR="008607D3" w:rsidRPr="002C1FD9" w:rsidRDefault="000F3005">
      <w:pPr>
        <w:keepNext/>
        <w:widowControl w:val="0"/>
        <w:spacing w:beforeAutospacing="1" w:afterAutospacing="1"/>
        <w:rPr>
          <w:b/>
          <w:sz w:val="24"/>
          <w:szCs w:val="24"/>
        </w:rPr>
      </w:pPr>
      <w:r w:rsidRPr="002C1FD9">
        <w:rPr>
          <w:rFonts w:cs="Arial"/>
        </w:rPr>
        <w:t>The City will continue to seek additional funding to support local programs in ways that CDBG is unable to do so.  Interagency collaboration has been referenced throughout this Plan and will remain a key component of the City's strategy to meet the needs of the community.</w:t>
      </w:r>
    </w:p>
    <w:p w14:paraId="2D3902B5" w14:textId="77777777" w:rsidR="008607D3" w:rsidRPr="002C1FD9" w:rsidRDefault="000F3005">
      <w:pPr>
        <w:pStyle w:val="Heading1"/>
        <w:pageBreakBefore/>
        <w:jc w:val="center"/>
        <w:rPr>
          <w:rFonts w:ascii="Calibri" w:hAnsi="Calibri"/>
          <w:color w:val="auto"/>
          <w:sz w:val="32"/>
          <w:szCs w:val="32"/>
        </w:rPr>
      </w:pPr>
      <w:r w:rsidRPr="002C1FD9">
        <w:rPr>
          <w:rFonts w:ascii="Calibri" w:hAnsi="Calibri"/>
          <w:color w:val="auto"/>
          <w:sz w:val="32"/>
          <w:szCs w:val="32"/>
        </w:rPr>
        <w:lastRenderedPageBreak/>
        <w:t>Program Specific Requirements</w:t>
      </w:r>
    </w:p>
    <w:p w14:paraId="58F93ECA" w14:textId="77777777" w:rsidR="008607D3" w:rsidRPr="002C1FD9" w:rsidRDefault="000F3005">
      <w:pPr>
        <w:rPr>
          <w:b/>
          <w:sz w:val="28"/>
          <w:szCs w:val="28"/>
        </w:rPr>
      </w:pPr>
      <w:r w:rsidRPr="002C1FD9">
        <w:rPr>
          <w:b/>
          <w:sz w:val="28"/>
          <w:szCs w:val="28"/>
        </w:rPr>
        <w:t>AP-90 Program Specific Requirements – 91.220(l</w:t>
      </w:r>
      <w:proofErr w:type="gramStart"/>
      <w:r w:rsidRPr="002C1FD9">
        <w:rPr>
          <w:b/>
          <w:sz w:val="28"/>
          <w:szCs w:val="28"/>
        </w:rPr>
        <w:t>)(</w:t>
      </w:r>
      <w:proofErr w:type="gramEnd"/>
      <w:r w:rsidRPr="002C1FD9">
        <w:rPr>
          <w:b/>
          <w:sz w:val="28"/>
          <w:szCs w:val="28"/>
        </w:rPr>
        <w:t>1,2,4)</w:t>
      </w:r>
    </w:p>
    <w:p w14:paraId="2D869F6B" w14:textId="77777777" w:rsidR="008607D3" w:rsidRPr="002C1FD9" w:rsidRDefault="000F3005">
      <w:pPr>
        <w:keepNext/>
        <w:widowControl w:val="0"/>
        <w:spacing w:line="204" w:lineRule="auto"/>
        <w:rPr>
          <w:b/>
          <w:sz w:val="24"/>
          <w:szCs w:val="24"/>
        </w:rPr>
      </w:pPr>
      <w:r w:rsidRPr="002C1FD9">
        <w:rPr>
          <w:b/>
          <w:sz w:val="24"/>
          <w:szCs w:val="24"/>
        </w:rPr>
        <w:t xml:space="preserve">Introduction: </w:t>
      </w:r>
    </w:p>
    <w:p w14:paraId="638BCB8C" w14:textId="77777777" w:rsidR="008607D3" w:rsidRPr="002C1FD9" w:rsidRDefault="000F3005">
      <w:pPr>
        <w:keepNext/>
        <w:widowControl w:val="0"/>
        <w:spacing w:beforeAutospacing="1" w:afterAutospacing="1"/>
        <w:rPr>
          <w:b/>
          <w:sz w:val="24"/>
          <w:szCs w:val="24"/>
        </w:rPr>
      </w:pPr>
      <w:r w:rsidRPr="002C1FD9">
        <w:rPr>
          <w:rFonts w:cs="Arial"/>
        </w:rPr>
        <w:t xml:space="preserve">The City makes every attempt to utilized program income within the same program year it is received.  Section AP-15 Expected Resources Table 5 shows $30,000 in estimated program income, which </w:t>
      </w:r>
      <w:r w:rsidR="00067151" w:rsidRPr="002C1FD9">
        <w:rPr>
          <w:rFonts w:cs="Arial"/>
        </w:rPr>
        <w:t>has</w:t>
      </w:r>
      <w:r w:rsidRPr="002C1FD9">
        <w:rPr>
          <w:rFonts w:cs="Arial"/>
        </w:rPr>
        <w:t xml:space="preserve"> been budgeted to projects within this Annual Action Plan. </w:t>
      </w:r>
    </w:p>
    <w:p w14:paraId="5904431F" w14:textId="77777777" w:rsidR="008607D3" w:rsidRPr="002C1FD9" w:rsidRDefault="000F3005">
      <w:pPr>
        <w:keepNext/>
        <w:widowControl w:val="0"/>
        <w:spacing w:after="0" w:line="240" w:lineRule="auto"/>
        <w:jc w:val="center"/>
        <w:rPr>
          <w:rFonts w:cs="Arial"/>
          <w:b/>
          <w:sz w:val="24"/>
          <w:szCs w:val="24"/>
        </w:rPr>
      </w:pPr>
      <w:r w:rsidRPr="002C1FD9">
        <w:rPr>
          <w:rFonts w:cs="Arial"/>
          <w:b/>
          <w:sz w:val="24"/>
          <w:szCs w:val="24"/>
        </w:rPr>
        <w:t>Community Development Block Grant Program (CDBG)</w:t>
      </w:r>
      <w:r w:rsidRPr="002C1FD9">
        <w:rPr>
          <w:i/>
        </w:rPr>
        <w:t xml:space="preserve"> </w:t>
      </w:r>
    </w:p>
    <w:p w14:paraId="69C87BCD" w14:textId="77777777" w:rsidR="008607D3" w:rsidRPr="002C1FD9" w:rsidRDefault="000F3005">
      <w:pPr>
        <w:keepNext/>
        <w:widowControl w:val="0"/>
        <w:spacing w:after="0" w:line="240" w:lineRule="auto"/>
        <w:jc w:val="center"/>
        <w:rPr>
          <w:rFonts w:cs="Arial"/>
          <w:b/>
          <w:sz w:val="24"/>
          <w:szCs w:val="24"/>
        </w:rPr>
      </w:pPr>
      <w:r w:rsidRPr="002C1FD9">
        <w:rPr>
          <w:rFonts w:cs="Arial"/>
          <w:b/>
          <w:sz w:val="24"/>
          <w:szCs w:val="24"/>
        </w:rPr>
        <w:t>Reference 24 CFR 91.220(l</w:t>
      </w:r>
      <w:proofErr w:type="gramStart"/>
      <w:r w:rsidRPr="002C1FD9">
        <w:rPr>
          <w:rFonts w:cs="Arial"/>
          <w:b/>
          <w:sz w:val="24"/>
          <w:szCs w:val="24"/>
        </w:rPr>
        <w:t>)(</w:t>
      </w:r>
      <w:proofErr w:type="gramEnd"/>
      <w:r w:rsidRPr="002C1FD9">
        <w:rPr>
          <w:rFonts w:cs="Arial"/>
          <w:b/>
          <w:sz w:val="24"/>
          <w:szCs w:val="24"/>
        </w:rPr>
        <w:t>1)</w:t>
      </w:r>
      <w:r w:rsidRPr="002C1FD9">
        <w:rPr>
          <w:i/>
        </w:rPr>
        <w:t xml:space="preserve"> </w:t>
      </w:r>
    </w:p>
    <w:p w14:paraId="644FD9E8" w14:textId="77777777" w:rsidR="008607D3" w:rsidRPr="002C1FD9" w:rsidRDefault="000F3005">
      <w:pPr>
        <w:keepNext/>
        <w:widowControl w:val="0"/>
        <w:spacing w:after="0" w:line="240" w:lineRule="auto"/>
        <w:rPr>
          <w:rFonts w:cs="Arial"/>
        </w:rPr>
      </w:pPr>
      <w:r w:rsidRPr="002C1FD9">
        <w:rPr>
          <w:rFonts w:cs="Arial"/>
        </w:rPr>
        <w:t>Projects planned with all CDBG funds expected to be available during the year are identified in the Projects Table. The following identifies program income that is available for use that is included in projects to be carried out.</w:t>
      </w:r>
      <w:r w:rsidRPr="002C1FD9">
        <w:t xml:space="preserve"> </w:t>
      </w:r>
    </w:p>
    <w:p w14:paraId="0C178E9E" w14:textId="77777777" w:rsidR="008607D3" w:rsidRPr="002C1FD9" w:rsidRDefault="008607D3">
      <w:pPr>
        <w:widowControl w:val="0"/>
        <w:spacing w:after="0" w:line="240" w:lineRule="auto"/>
        <w:rPr>
          <w:rFonts w:cs="Arial"/>
        </w:rPr>
      </w:pPr>
    </w:p>
    <w:tbl>
      <w:tblPr>
        <w:tblW w:w="5000" w:type="pct"/>
        <w:tblInd w:w="115" w:type="dxa"/>
        <w:tblLook w:val="01E0" w:firstRow="1" w:lastRow="1" w:firstColumn="1" w:lastColumn="1" w:noHBand="0" w:noVBand="0"/>
      </w:tblPr>
      <w:tblGrid>
        <w:gridCol w:w="9032"/>
        <w:gridCol w:w="328"/>
      </w:tblGrid>
      <w:tr w:rsidR="002C1FD9" w:rsidRPr="002C1FD9" w14:paraId="3C0395D3" w14:textId="77777777">
        <w:tc>
          <w:tcPr>
            <w:tcW w:w="9576" w:type="dxa"/>
            <w:gridSpan w:val="2"/>
          </w:tcPr>
          <w:p w14:paraId="3254BC2F" w14:textId="77777777" w:rsidR="008607D3" w:rsidRPr="002C1FD9" w:rsidRDefault="008607D3">
            <w:pPr>
              <w:keepNext/>
              <w:widowControl w:val="0"/>
              <w:spacing w:after="0" w:line="240" w:lineRule="auto"/>
              <w:rPr>
                <w:rFonts w:cs="Arial"/>
              </w:rPr>
            </w:pPr>
          </w:p>
        </w:tc>
      </w:tr>
      <w:tr w:rsidR="002C1FD9" w:rsidRPr="002C1FD9" w14:paraId="0F6BBE46" w14:textId="77777777">
        <w:trPr>
          <w:cantSplit/>
        </w:trPr>
        <w:tc>
          <w:tcPr>
            <w:tcW w:w="0" w:type="auto"/>
            <w:vAlign w:val="center"/>
          </w:tcPr>
          <w:p w14:paraId="513FCCB1" w14:textId="77777777" w:rsidR="008607D3" w:rsidRPr="002C1FD9" w:rsidRDefault="000F3005">
            <w:pPr>
              <w:spacing w:beforeAutospacing="1" w:afterAutospacing="1"/>
            </w:pPr>
            <w:r w:rsidRPr="002C1FD9">
              <w:t>1. The total amount of program income that will have been received before the start of the next program year and that has not yet been reprogrammed</w:t>
            </w:r>
          </w:p>
        </w:tc>
        <w:tc>
          <w:tcPr>
            <w:tcW w:w="0" w:type="auto"/>
            <w:vAlign w:val="bottom"/>
          </w:tcPr>
          <w:p w14:paraId="0213FF8E" w14:textId="77777777" w:rsidR="008607D3" w:rsidRPr="002C1FD9" w:rsidRDefault="000F3005">
            <w:pPr>
              <w:spacing w:beforeAutospacing="1" w:afterAutospacing="1"/>
              <w:jc w:val="right"/>
            </w:pPr>
            <w:r w:rsidRPr="002C1FD9">
              <w:t>0</w:t>
            </w:r>
          </w:p>
        </w:tc>
      </w:tr>
      <w:tr w:rsidR="002C1FD9" w:rsidRPr="002C1FD9" w14:paraId="068DDAB4" w14:textId="77777777">
        <w:trPr>
          <w:cantSplit/>
        </w:trPr>
        <w:tc>
          <w:tcPr>
            <w:tcW w:w="0" w:type="auto"/>
            <w:vAlign w:val="center"/>
          </w:tcPr>
          <w:p w14:paraId="22579241" w14:textId="77777777" w:rsidR="008607D3" w:rsidRPr="002C1FD9" w:rsidRDefault="000F3005">
            <w:pPr>
              <w:spacing w:beforeAutospacing="1" w:afterAutospacing="1"/>
            </w:pPr>
            <w:r w:rsidRPr="002C1FD9">
              <w:t>2. The amount of proceeds from section 108 loan guarantees that will be used during the year to address the priority needs and specific objectives identified in the grantee's strategic plan.</w:t>
            </w:r>
          </w:p>
        </w:tc>
        <w:tc>
          <w:tcPr>
            <w:tcW w:w="0" w:type="auto"/>
            <w:vAlign w:val="bottom"/>
          </w:tcPr>
          <w:p w14:paraId="370D6AA5" w14:textId="77777777" w:rsidR="008607D3" w:rsidRPr="002C1FD9" w:rsidRDefault="000F3005">
            <w:pPr>
              <w:spacing w:beforeAutospacing="1" w:afterAutospacing="1"/>
              <w:jc w:val="right"/>
            </w:pPr>
            <w:r w:rsidRPr="002C1FD9">
              <w:t>0</w:t>
            </w:r>
          </w:p>
        </w:tc>
      </w:tr>
      <w:tr w:rsidR="002C1FD9" w:rsidRPr="002C1FD9" w14:paraId="6A391E3B" w14:textId="77777777">
        <w:trPr>
          <w:cantSplit/>
        </w:trPr>
        <w:tc>
          <w:tcPr>
            <w:tcW w:w="0" w:type="auto"/>
            <w:vAlign w:val="center"/>
          </w:tcPr>
          <w:p w14:paraId="7EAD09CB" w14:textId="77777777" w:rsidR="008607D3" w:rsidRPr="002C1FD9" w:rsidRDefault="000F3005">
            <w:pPr>
              <w:spacing w:beforeAutospacing="1" w:afterAutospacing="1"/>
            </w:pPr>
            <w:r w:rsidRPr="002C1FD9">
              <w:t>3. The amount of surplus funds from urban renewal settlements</w:t>
            </w:r>
          </w:p>
        </w:tc>
        <w:tc>
          <w:tcPr>
            <w:tcW w:w="0" w:type="auto"/>
            <w:vAlign w:val="bottom"/>
          </w:tcPr>
          <w:p w14:paraId="05F7728E" w14:textId="77777777" w:rsidR="008607D3" w:rsidRPr="002C1FD9" w:rsidRDefault="000F3005">
            <w:pPr>
              <w:spacing w:beforeAutospacing="1" w:afterAutospacing="1"/>
              <w:jc w:val="right"/>
            </w:pPr>
            <w:r w:rsidRPr="002C1FD9">
              <w:t>0</w:t>
            </w:r>
          </w:p>
        </w:tc>
      </w:tr>
      <w:tr w:rsidR="002C1FD9" w:rsidRPr="002C1FD9" w14:paraId="195ABD90" w14:textId="77777777">
        <w:trPr>
          <w:cantSplit/>
        </w:trPr>
        <w:tc>
          <w:tcPr>
            <w:tcW w:w="0" w:type="auto"/>
            <w:vAlign w:val="center"/>
          </w:tcPr>
          <w:p w14:paraId="6EB14D4E" w14:textId="77777777" w:rsidR="008607D3" w:rsidRPr="002C1FD9" w:rsidRDefault="000F3005">
            <w:pPr>
              <w:spacing w:beforeAutospacing="1" w:afterAutospacing="1"/>
            </w:pPr>
            <w:r w:rsidRPr="002C1FD9">
              <w:t>4. The amount of any grant funds returned to the line of credit for which the planned use has not been included in a prior statement or plan</w:t>
            </w:r>
          </w:p>
        </w:tc>
        <w:tc>
          <w:tcPr>
            <w:tcW w:w="0" w:type="auto"/>
            <w:vAlign w:val="bottom"/>
          </w:tcPr>
          <w:p w14:paraId="3D22F59A" w14:textId="77777777" w:rsidR="008607D3" w:rsidRPr="002C1FD9" w:rsidRDefault="000F3005">
            <w:pPr>
              <w:spacing w:beforeAutospacing="1" w:afterAutospacing="1"/>
              <w:jc w:val="right"/>
            </w:pPr>
            <w:r w:rsidRPr="002C1FD9">
              <w:t>0</w:t>
            </w:r>
          </w:p>
        </w:tc>
      </w:tr>
      <w:tr w:rsidR="002C1FD9" w:rsidRPr="002C1FD9" w14:paraId="36FADC72" w14:textId="77777777">
        <w:trPr>
          <w:cantSplit/>
        </w:trPr>
        <w:tc>
          <w:tcPr>
            <w:tcW w:w="0" w:type="auto"/>
            <w:vAlign w:val="center"/>
          </w:tcPr>
          <w:p w14:paraId="0E0C9482" w14:textId="77777777" w:rsidR="008607D3" w:rsidRPr="002C1FD9" w:rsidRDefault="000F3005">
            <w:pPr>
              <w:spacing w:beforeAutospacing="1" w:afterAutospacing="1"/>
            </w:pPr>
            <w:r w:rsidRPr="002C1FD9">
              <w:t>5. The amount of income from float-funded activities</w:t>
            </w:r>
          </w:p>
        </w:tc>
        <w:tc>
          <w:tcPr>
            <w:tcW w:w="0" w:type="auto"/>
            <w:vAlign w:val="bottom"/>
          </w:tcPr>
          <w:p w14:paraId="56C62623" w14:textId="77777777" w:rsidR="008607D3" w:rsidRPr="002C1FD9" w:rsidRDefault="000F3005">
            <w:pPr>
              <w:spacing w:beforeAutospacing="1" w:afterAutospacing="1"/>
              <w:jc w:val="right"/>
            </w:pPr>
            <w:r w:rsidRPr="002C1FD9">
              <w:t>0</w:t>
            </w:r>
          </w:p>
        </w:tc>
      </w:tr>
      <w:tr w:rsidR="002C1FD9" w:rsidRPr="002C1FD9" w14:paraId="62D5EB53" w14:textId="77777777">
        <w:trPr>
          <w:cantSplit/>
        </w:trPr>
        <w:tc>
          <w:tcPr>
            <w:tcW w:w="0" w:type="auto"/>
            <w:vAlign w:val="center"/>
          </w:tcPr>
          <w:p w14:paraId="6D57306D" w14:textId="77777777" w:rsidR="008607D3" w:rsidRPr="002C1FD9" w:rsidRDefault="000F3005">
            <w:pPr>
              <w:spacing w:beforeAutospacing="1" w:afterAutospacing="1"/>
            </w:pPr>
            <w:r w:rsidRPr="002C1FD9">
              <w:rPr>
                <w:b/>
              </w:rPr>
              <w:t>Total Program Income:</w:t>
            </w:r>
          </w:p>
        </w:tc>
        <w:tc>
          <w:tcPr>
            <w:tcW w:w="0" w:type="auto"/>
            <w:vAlign w:val="center"/>
          </w:tcPr>
          <w:p w14:paraId="7A06C686" w14:textId="77777777" w:rsidR="008607D3" w:rsidRPr="002C1FD9" w:rsidRDefault="000F3005">
            <w:pPr>
              <w:spacing w:beforeAutospacing="1" w:afterAutospacing="1"/>
              <w:jc w:val="right"/>
            </w:pPr>
            <w:r w:rsidRPr="002C1FD9">
              <w:rPr>
                <w:b/>
              </w:rPr>
              <w:t>0</w:t>
            </w:r>
          </w:p>
        </w:tc>
      </w:tr>
    </w:tbl>
    <w:p w14:paraId="651E9592" w14:textId="77777777" w:rsidR="008607D3" w:rsidRPr="002C1FD9" w:rsidRDefault="008607D3">
      <w:pPr>
        <w:keepNext/>
        <w:widowControl w:val="0"/>
        <w:spacing w:after="0" w:line="240" w:lineRule="auto"/>
        <w:rPr>
          <w:rFonts w:cs="Arial"/>
        </w:rPr>
      </w:pPr>
    </w:p>
    <w:p w14:paraId="73DFB9D7" w14:textId="77777777" w:rsidR="008607D3" w:rsidRPr="002C1FD9" w:rsidRDefault="000F3005">
      <w:pPr>
        <w:keepNext/>
        <w:widowControl w:val="0"/>
        <w:spacing w:after="0" w:line="240" w:lineRule="auto"/>
        <w:jc w:val="center"/>
        <w:rPr>
          <w:rFonts w:cs="Arial"/>
          <w:b/>
          <w:sz w:val="24"/>
          <w:szCs w:val="24"/>
        </w:rPr>
      </w:pPr>
      <w:r w:rsidRPr="002C1FD9">
        <w:rPr>
          <w:rFonts w:cs="Arial"/>
          <w:b/>
          <w:sz w:val="24"/>
          <w:szCs w:val="24"/>
        </w:rPr>
        <w:t>Other CDBG Requirements</w:t>
      </w:r>
      <w:r w:rsidRPr="002C1FD9">
        <w:rPr>
          <w:i/>
        </w:rPr>
        <w:t xml:space="preserve"> </w:t>
      </w:r>
    </w:p>
    <w:tbl>
      <w:tblPr>
        <w:tblW w:w="5000" w:type="pct"/>
        <w:tblInd w:w="115" w:type="dxa"/>
        <w:tblLook w:val="01E0" w:firstRow="1" w:lastRow="1" w:firstColumn="1" w:lastColumn="1" w:noHBand="0" w:noVBand="0"/>
      </w:tblPr>
      <w:tblGrid>
        <w:gridCol w:w="8599"/>
        <w:gridCol w:w="761"/>
      </w:tblGrid>
      <w:tr w:rsidR="002C1FD9" w:rsidRPr="002C1FD9" w14:paraId="269E314A" w14:textId="77777777">
        <w:tc>
          <w:tcPr>
            <w:tcW w:w="9576" w:type="dxa"/>
            <w:gridSpan w:val="2"/>
          </w:tcPr>
          <w:p w14:paraId="47341341" w14:textId="77777777" w:rsidR="008607D3" w:rsidRPr="002C1FD9" w:rsidRDefault="008607D3">
            <w:pPr>
              <w:keepNext/>
              <w:widowControl w:val="0"/>
              <w:spacing w:after="0" w:line="240" w:lineRule="auto"/>
              <w:rPr>
                <w:rFonts w:cs="Arial"/>
              </w:rPr>
            </w:pPr>
            <w:bookmarkStart w:id="2" w:name="_GoBack" w:colFirst="0" w:colLast="0"/>
          </w:p>
        </w:tc>
      </w:tr>
      <w:tr w:rsidR="002C1FD9" w:rsidRPr="002C1FD9" w14:paraId="0412ABC3" w14:textId="77777777">
        <w:trPr>
          <w:cantSplit/>
        </w:trPr>
        <w:tc>
          <w:tcPr>
            <w:tcW w:w="0" w:type="auto"/>
          </w:tcPr>
          <w:p w14:paraId="72DC86A1" w14:textId="77777777" w:rsidR="008607D3" w:rsidRPr="002C1FD9" w:rsidRDefault="000F3005">
            <w:pPr>
              <w:spacing w:beforeAutospacing="1" w:afterAutospacing="1"/>
            </w:pPr>
            <w:r w:rsidRPr="002C1FD9">
              <w:t>1. The amount of urgent need activities</w:t>
            </w:r>
          </w:p>
        </w:tc>
        <w:tc>
          <w:tcPr>
            <w:tcW w:w="0" w:type="auto"/>
            <w:vAlign w:val="bottom"/>
          </w:tcPr>
          <w:p w14:paraId="1574AF32" w14:textId="77777777" w:rsidR="008607D3" w:rsidRPr="002C1FD9" w:rsidRDefault="000F3005">
            <w:pPr>
              <w:spacing w:beforeAutospacing="1" w:afterAutospacing="1"/>
              <w:jc w:val="right"/>
            </w:pPr>
            <w:r w:rsidRPr="002C1FD9">
              <w:t>0</w:t>
            </w:r>
          </w:p>
        </w:tc>
      </w:tr>
      <w:bookmarkEnd w:id="2"/>
    </w:tbl>
    <w:p w14:paraId="42EF2083" w14:textId="77777777" w:rsidR="008607D3" w:rsidRPr="002C1FD9" w:rsidRDefault="008607D3">
      <w:pPr>
        <w:widowControl w:val="0"/>
        <w:spacing w:after="0" w:line="240" w:lineRule="auto"/>
        <w:rPr>
          <w:rFonts w:cs="Arial"/>
          <w:vanish/>
          <w:sz w:val="4"/>
          <w:szCs w:val="4"/>
        </w:rPr>
      </w:pPr>
    </w:p>
    <w:tbl>
      <w:tblPr>
        <w:tblW w:w="4999" w:type="pct"/>
        <w:tblInd w:w="115" w:type="dxa"/>
        <w:tblLayout w:type="fixed"/>
        <w:tblCellMar>
          <w:left w:w="115" w:type="dxa"/>
          <w:right w:w="115" w:type="dxa"/>
        </w:tblCellMar>
        <w:tblLook w:val="01E0" w:firstRow="1" w:lastRow="1" w:firstColumn="1" w:lastColumn="1" w:noHBand="0" w:noVBand="0"/>
      </w:tblPr>
      <w:tblGrid>
        <w:gridCol w:w="7729"/>
        <w:gridCol w:w="1629"/>
      </w:tblGrid>
      <w:tr w:rsidR="002C1FD9" w:rsidRPr="002C1FD9" w14:paraId="7B40C951" w14:textId="77777777">
        <w:tc>
          <w:tcPr>
            <w:tcW w:w="7923" w:type="dxa"/>
          </w:tcPr>
          <w:p w14:paraId="4B4D7232" w14:textId="77777777" w:rsidR="008607D3" w:rsidRPr="002C1FD9" w:rsidRDefault="008607D3">
            <w:pPr>
              <w:keepNext/>
              <w:widowControl w:val="0"/>
              <w:spacing w:after="0" w:line="240" w:lineRule="auto"/>
              <w:rPr>
                <w:rFonts w:cs="Arial"/>
              </w:rPr>
            </w:pPr>
          </w:p>
        </w:tc>
        <w:tc>
          <w:tcPr>
            <w:tcW w:w="1665" w:type="dxa"/>
          </w:tcPr>
          <w:p w14:paraId="2093CA67" w14:textId="77777777" w:rsidR="008607D3" w:rsidRPr="002C1FD9" w:rsidRDefault="008607D3">
            <w:pPr>
              <w:keepNext/>
              <w:widowControl w:val="0"/>
              <w:spacing w:after="0" w:line="240" w:lineRule="auto"/>
              <w:rPr>
                <w:rFonts w:cs="Arial"/>
              </w:rPr>
            </w:pPr>
          </w:p>
        </w:tc>
      </w:tr>
      <w:tr w:rsidR="002C1FD9" w:rsidRPr="002C1FD9" w14:paraId="09D6A700" w14:textId="77777777">
        <w:trPr>
          <w:cantSplit/>
        </w:trPr>
        <w:tc>
          <w:tcPr>
            <w:tcW w:w="7923" w:type="dxa"/>
          </w:tcPr>
          <w:p w14:paraId="27111E3A" w14:textId="77777777" w:rsidR="008607D3" w:rsidRPr="002C1FD9" w:rsidRDefault="000F3005">
            <w:pPr>
              <w:spacing w:beforeAutospacing="1" w:afterAutospacing="1"/>
            </w:pPr>
            <w:r w:rsidRPr="002C1FD9">
              <w:t xml:space="preserve">2. The estimated percentage of CDBG funds that will be used for activities that benefit persons of low and moderate </w:t>
            </w:r>
            <w:r w:rsidR="00067151" w:rsidRPr="002C1FD9">
              <w:t>income. Overall</w:t>
            </w:r>
            <w:r w:rsidRPr="002C1FD9">
              <w:t xml:space="preserve"> Benefit - A consecutive period of one, two or three years may be used to determine that a minimum overall benefit of 70% of CDBG funds is used to benefit persons of low and moderate income. Specify the years covered that include this Annual Action Plan.</w:t>
            </w:r>
          </w:p>
        </w:tc>
        <w:tc>
          <w:tcPr>
            <w:tcW w:w="1665" w:type="dxa"/>
            <w:vAlign w:val="bottom"/>
          </w:tcPr>
          <w:p w14:paraId="2038ACFE" w14:textId="77777777" w:rsidR="008607D3" w:rsidRPr="002C1FD9" w:rsidRDefault="000F3005">
            <w:pPr>
              <w:spacing w:beforeAutospacing="1" w:afterAutospacing="1"/>
              <w:jc w:val="right"/>
            </w:pPr>
            <w:r w:rsidRPr="002C1FD9">
              <w:t>85.00%</w:t>
            </w:r>
          </w:p>
        </w:tc>
      </w:tr>
    </w:tbl>
    <w:p w14:paraId="2503B197" w14:textId="77777777" w:rsidR="008607D3" w:rsidRPr="002C1FD9" w:rsidRDefault="008607D3">
      <w:pPr>
        <w:spacing w:after="0" w:line="240" w:lineRule="auto"/>
        <w:rPr>
          <w:rFonts w:cs="Arial"/>
        </w:rPr>
      </w:pPr>
    </w:p>
    <w:p w14:paraId="38288749" w14:textId="77777777" w:rsidR="008607D3" w:rsidRPr="002C1FD9" w:rsidRDefault="008607D3">
      <w:pPr>
        <w:spacing w:after="0" w:line="240" w:lineRule="auto"/>
        <w:rPr>
          <w:rFonts w:cs="Arial"/>
        </w:rPr>
      </w:pPr>
    </w:p>
    <w:p w14:paraId="69EC714A" w14:textId="1E6F7DB8" w:rsidR="00DE34F8" w:rsidRPr="002C1FD9" w:rsidRDefault="00612B1E">
      <w:pPr>
        <w:rPr>
          <w:b/>
          <w:sz w:val="24"/>
          <w:szCs w:val="24"/>
        </w:rPr>
      </w:pPr>
      <w:r w:rsidRPr="002C1FD9">
        <w:rPr>
          <w:b/>
          <w:sz w:val="24"/>
          <w:szCs w:val="24"/>
        </w:rPr>
        <w:t>Di</w:t>
      </w:r>
      <w:r w:rsidR="000F3005" w:rsidRPr="002C1FD9">
        <w:rPr>
          <w:b/>
          <w:sz w:val="24"/>
          <w:szCs w:val="24"/>
        </w:rPr>
        <w:t xml:space="preserve">scussion: </w:t>
      </w:r>
    </w:p>
    <w:p w14:paraId="2AC57CB0" w14:textId="667EAF0F" w:rsidR="008607D3" w:rsidRPr="002C1FD9" w:rsidRDefault="000F3005">
      <w:pPr>
        <w:rPr>
          <w:rFonts w:cs="Arial"/>
        </w:rPr>
      </w:pPr>
      <w:r w:rsidRPr="002C1FD9">
        <w:rPr>
          <w:rFonts w:cs="Arial"/>
        </w:rPr>
        <w:t xml:space="preserve">The City is selecting a 3-year consecutive designation to determine benefits to persons of low and moderate income starting with Program Year 2020/46.   </w:t>
      </w:r>
    </w:p>
    <w:p w14:paraId="5186B13D" w14:textId="77777777" w:rsidR="008607D3" w:rsidRPr="002C1FD9" w:rsidRDefault="008607D3"/>
    <w:sectPr w:rsidR="008607D3" w:rsidRPr="002C1FD9">
      <w:headerReference w:type="even" r:id="rId14"/>
      <w:headerReference w:type="default" r:id="rId15"/>
      <w:footerReference w:type="even"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19B8A" w14:textId="77777777" w:rsidR="008B1337" w:rsidRDefault="008B1337">
      <w:r>
        <w:separator/>
      </w:r>
    </w:p>
  </w:endnote>
  <w:endnote w:type="continuationSeparator" w:id="0">
    <w:p w14:paraId="31A560F4" w14:textId="77777777" w:rsidR="008B1337" w:rsidRDefault="008B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3107D" w14:textId="77777777" w:rsidR="002B26A6" w:rsidRDefault="002B2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Look w:val="01E0" w:firstRow="1" w:lastRow="1" w:firstColumn="1" w:lastColumn="1" w:noHBand="0" w:noVBand="0"/>
    </w:tblPr>
    <w:tblGrid>
      <w:gridCol w:w="828"/>
      <w:gridCol w:w="7976"/>
      <w:gridCol w:w="772"/>
    </w:tblGrid>
    <w:tr w:rsidR="008B1337" w14:paraId="1B0526C1" w14:textId="77777777">
      <w:trPr>
        <w:jc w:val="center"/>
      </w:trPr>
      <w:tc>
        <w:tcPr>
          <w:tcW w:w="828" w:type="dxa"/>
        </w:tcPr>
        <w:p w14:paraId="6C57C439" w14:textId="77777777" w:rsidR="008B1337" w:rsidRDefault="008B1337">
          <w:pPr>
            <w:pStyle w:val="Footer"/>
            <w:spacing w:after="0" w:line="240" w:lineRule="auto"/>
            <w:jc w:val="center"/>
          </w:pPr>
        </w:p>
      </w:tc>
      <w:tc>
        <w:tcPr>
          <w:tcW w:w="7976" w:type="dxa"/>
        </w:tcPr>
        <w:p w14:paraId="63AD70F8" w14:textId="77777777" w:rsidR="008B1337" w:rsidRDefault="008B1337">
          <w:pPr>
            <w:pStyle w:val="Footer"/>
            <w:spacing w:after="0" w:line="240" w:lineRule="auto"/>
            <w:jc w:val="center"/>
          </w:pPr>
          <w:r>
            <w:t>Annual Action Plan</w:t>
          </w:r>
        </w:p>
        <w:p w14:paraId="3E9589A3" w14:textId="77777777" w:rsidR="008B1337" w:rsidRDefault="008B1337">
          <w:pPr>
            <w:pStyle w:val="Footer"/>
            <w:spacing w:after="0" w:line="240" w:lineRule="auto"/>
            <w:jc w:val="center"/>
            <w:rPr>
              <w:rFonts w:cs="Arial"/>
            </w:rPr>
          </w:pPr>
          <w:r>
            <w:t>2020</w:t>
          </w:r>
        </w:p>
      </w:tc>
      <w:tc>
        <w:tcPr>
          <w:tcW w:w="772" w:type="dxa"/>
        </w:tcPr>
        <w:p w14:paraId="74C8BF94" w14:textId="77777777" w:rsidR="008B1337" w:rsidRDefault="008B1337">
          <w:pPr>
            <w:pStyle w:val="Footer"/>
            <w:spacing w:after="0" w:line="240" w:lineRule="auto"/>
            <w:jc w:val="right"/>
          </w:pPr>
          <w:r>
            <w:fldChar w:fldCharType="begin"/>
          </w:r>
          <w:r>
            <w:instrText>page</w:instrText>
          </w:r>
          <w:r>
            <w:fldChar w:fldCharType="separate"/>
          </w:r>
          <w:r w:rsidR="002B26A6">
            <w:rPr>
              <w:noProof/>
            </w:rPr>
            <w:t>30</w:t>
          </w:r>
          <w:r>
            <w:fldChar w:fldCharType="end"/>
          </w:r>
        </w:p>
      </w:tc>
    </w:tr>
  </w:tbl>
  <w:p w14:paraId="5562430D" w14:textId="77777777" w:rsidR="008B1337" w:rsidRDefault="008B1337">
    <w:pPr>
      <w:pStyle w:val="Footer"/>
      <w:spacing w:before="120" w:after="0"/>
      <w:rPr>
        <w:rFonts w:asciiTheme="minorHAnsi" w:hAnsiTheme="minorHAnsi"/>
        <w:b/>
        <w:i/>
        <w:sz w:val="16"/>
      </w:rPr>
    </w:pPr>
    <w:r>
      <w:rPr>
        <w:rFonts w:asciiTheme="minorHAnsi" w:hAnsiTheme="minorHAnsi" w:cs="Arial"/>
        <w:color w:val="000000"/>
        <w:sz w:val="16"/>
      </w:rPr>
      <w:t>OMB Control No: 2506-0117 (exp. 06/30/2018)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66807" w14:textId="77777777" w:rsidR="002B26A6" w:rsidRDefault="002B26A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FA3E3" w14:textId="77777777" w:rsidR="008B1337" w:rsidRDefault="008B1337">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4BC9" w14:textId="77777777" w:rsidR="008B1337" w:rsidRDefault="008B13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413BF6" w14:textId="77777777" w:rsidR="008B1337" w:rsidRDefault="008B1337">
      <w:r>
        <w:separator/>
      </w:r>
    </w:p>
  </w:footnote>
  <w:footnote w:type="continuationSeparator" w:id="0">
    <w:p w14:paraId="33D28B4B" w14:textId="77777777" w:rsidR="008B1337" w:rsidRDefault="008B1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E9B1F" w14:textId="77777777" w:rsidR="002B26A6" w:rsidRDefault="002B26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93704" w14:textId="10395C40" w:rsidR="002B26A6" w:rsidRDefault="002B26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3B7727" w14:textId="77777777" w:rsidR="002B26A6" w:rsidRDefault="002B26A6">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44586" w14:textId="77777777" w:rsidR="008B1337" w:rsidRDefault="008B133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2766275"/>
      <w:docPartObj>
        <w:docPartGallery w:val="Watermarks"/>
        <w:docPartUnique/>
      </w:docPartObj>
    </w:sdtPr>
    <w:sdtContent>
      <w:p w14:paraId="41C6AC2A" w14:textId="4F5D2742" w:rsidR="008B1337" w:rsidRDefault="002B26A6">
        <w:pPr>
          <w:pStyle w:val="Header"/>
        </w:pPr>
        <w:r>
          <w:rPr>
            <w:noProof/>
          </w:rPr>
          <w:pict w14:anchorId="1E6F17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F735C" w14:textId="77777777" w:rsidR="008B1337" w:rsidRDefault="008B13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13CB0CE3"/>
    <w:multiLevelType w:val="hybridMultilevel"/>
    <w:tmpl w:val="A09AC69E"/>
    <w:lvl w:ilvl="0" w:tplc="696A65CC">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14528EA"/>
    <w:multiLevelType w:val="hybridMultilevel"/>
    <w:tmpl w:val="1AE41A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7"/>
  </w:num>
  <w:num w:numId="14">
    <w:abstractNumId w:val="15"/>
  </w:num>
  <w:num w:numId="15">
    <w:abstractNumId w:val="14"/>
  </w:num>
  <w:num w:numId="16">
    <w:abstractNumId w:val="16"/>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F4"/>
    <w:rsid w:val="00004F01"/>
    <w:rsid w:val="000079B1"/>
    <w:rsid w:val="000101FE"/>
    <w:rsid w:val="000116B2"/>
    <w:rsid w:val="000153F6"/>
    <w:rsid w:val="0001643E"/>
    <w:rsid w:val="000202EB"/>
    <w:rsid w:val="000204C7"/>
    <w:rsid w:val="00022CF5"/>
    <w:rsid w:val="00024F61"/>
    <w:rsid w:val="0002521E"/>
    <w:rsid w:val="00026149"/>
    <w:rsid w:val="00027899"/>
    <w:rsid w:val="00032C1E"/>
    <w:rsid w:val="0003300B"/>
    <w:rsid w:val="00034405"/>
    <w:rsid w:val="0003459B"/>
    <w:rsid w:val="00035628"/>
    <w:rsid w:val="000357CA"/>
    <w:rsid w:val="00035F04"/>
    <w:rsid w:val="00042C4D"/>
    <w:rsid w:val="00043B67"/>
    <w:rsid w:val="00044565"/>
    <w:rsid w:val="00047E3E"/>
    <w:rsid w:val="000518AA"/>
    <w:rsid w:val="00053E62"/>
    <w:rsid w:val="00054780"/>
    <w:rsid w:val="00056828"/>
    <w:rsid w:val="00057E29"/>
    <w:rsid w:val="00060CE4"/>
    <w:rsid w:val="00061845"/>
    <w:rsid w:val="00061B37"/>
    <w:rsid w:val="00061E41"/>
    <w:rsid w:val="000620FD"/>
    <w:rsid w:val="000661A8"/>
    <w:rsid w:val="000670CF"/>
    <w:rsid w:val="00067151"/>
    <w:rsid w:val="00067FD4"/>
    <w:rsid w:val="00070633"/>
    <w:rsid w:val="000717E5"/>
    <w:rsid w:val="00071F05"/>
    <w:rsid w:val="00072C8A"/>
    <w:rsid w:val="00072F46"/>
    <w:rsid w:val="000734F6"/>
    <w:rsid w:val="00075AB2"/>
    <w:rsid w:val="0007671E"/>
    <w:rsid w:val="00077F16"/>
    <w:rsid w:val="00080209"/>
    <w:rsid w:val="0008068E"/>
    <w:rsid w:val="00080943"/>
    <w:rsid w:val="00080ECB"/>
    <w:rsid w:val="00081136"/>
    <w:rsid w:val="000825DF"/>
    <w:rsid w:val="000831B8"/>
    <w:rsid w:val="00083B49"/>
    <w:rsid w:val="00083BEB"/>
    <w:rsid w:val="0008420F"/>
    <w:rsid w:val="00084E02"/>
    <w:rsid w:val="00085ECE"/>
    <w:rsid w:val="0008764E"/>
    <w:rsid w:val="00087BEC"/>
    <w:rsid w:val="00091139"/>
    <w:rsid w:val="000918AD"/>
    <w:rsid w:val="00093BF8"/>
    <w:rsid w:val="0009415B"/>
    <w:rsid w:val="0009419B"/>
    <w:rsid w:val="00096632"/>
    <w:rsid w:val="00096BAB"/>
    <w:rsid w:val="00096FE3"/>
    <w:rsid w:val="000975D9"/>
    <w:rsid w:val="000A3328"/>
    <w:rsid w:val="000A3869"/>
    <w:rsid w:val="000A3AF5"/>
    <w:rsid w:val="000A6604"/>
    <w:rsid w:val="000A7EB6"/>
    <w:rsid w:val="000B0148"/>
    <w:rsid w:val="000B291F"/>
    <w:rsid w:val="000B45BD"/>
    <w:rsid w:val="000B5D24"/>
    <w:rsid w:val="000B7A3C"/>
    <w:rsid w:val="000C0752"/>
    <w:rsid w:val="000C0905"/>
    <w:rsid w:val="000C20FC"/>
    <w:rsid w:val="000C265E"/>
    <w:rsid w:val="000C3ACA"/>
    <w:rsid w:val="000C4F98"/>
    <w:rsid w:val="000C666E"/>
    <w:rsid w:val="000C74F3"/>
    <w:rsid w:val="000D2573"/>
    <w:rsid w:val="000D422A"/>
    <w:rsid w:val="000D488E"/>
    <w:rsid w:val="000D4D7D"/>
    <w:rsid w:val="000D7D16"/>
    <w:rsid w:val="000E0343"/>
    <w:rsid w:val="000E0D5D"/>
    <w:rsid w:val="000E13BA"/>
    <w:rsid w:val="000E1DFB"/>
    <w:rsid w:val="000E1F9B"/>
    <w:rsid w:val="000E319C"/>
    <w:rsid w:val="000E3358"/>
    <w:rsid w:val="000E34C4"/>
    <w:rsid w:val="000E4A11"/>
    <w:rsid w:val="000E5032"/>
    <w:rsid w:val="000E53D6"/>
    <w:rsid w:val="000E5FBD"/>
    <w:rsid w:val="000E6121"/>
    <w:rsid w:val="000E640E"/>
    <w:rsid w:val="000E6B9A"/>
    <w:rsid w:val="000E6CB6"/>
    <w:rsid w:val="000F04AF"/>
    <w:rsid w:val="000F07A3"/>
    <w:rsid w:val="000F1DD7"/>
    <w:rsid w:val="000F21DE"/>
    <w:rsid w:val="000F3005"/>
    <w:rsid w:val="000F6B53"/>
    <w:rsid w:val="00101E3D"/>
    <w:rsid w:val="00102442"/>
    <w:rsid w:val="0010332E"/>
    <w:rsid w:val="0010487A"/>
    <w:rsid w:val="00106CAB"/>
    <w:rsid w:val="0010757C"/>
    <w:rsid w:val="001105E4"/>
    <w:rsid w:val="001121F8"/>
    <w:rsid w:val="00112F30"/>
    <w:rsid w:val="00114CA6"/>
    <w:rsid w:val="00115066"/>
    <w:rsid w:val="00117AB9"/>
    <w:rsid w:val="00117CAF"/>
    <w:rsid w:val="00120904"/>
    <w:rsid w:val="00121945"/>
    <w:rsid w:val="00123B67"/>
    <w:rsid w:val="00124E85"/>
    <w:rsid w:val="00125428"/>
    <w:rsid w:val="001256B0"/>
    <w:rsid w:val="00125FCA"/>
    <w:rsid w:val="001261A0"/>
    <w:rsid w:val="00132B0C"/>
    <w:rsid w:val="00132CEA"/>
    <w:rsid w:val="00134B79"/>
    <w:rsid w:val="0013545A"/>
    <w:rsid w:val="00135B76"/>
    <w:rsid w:val="00135EA7"/>
    <w:rsid w:val="00136724"/>
    <w:rsid w:val="00140088"/>
    <w:rsid w:val="00141F8B"/>
    <w:rsid w:val="001442FB"/>
    <w:rsid w:val="001460FB"/>
    <w:rsid w:val="00150B00"/>
    <w:rsid w:val="00151FDE"/>
    <w:rsid w:val="001539D4"/>
    <w:rsid w:val="00156045"/>
    <w:rsid w:val="00156205"/>
    <w:rsid w:val="00157D8A"/>
    <w:rsid w:val="0016089C"/>
    <w:rsid w:val="00160AC1"/>
    <w:rsid w:val="0016267E"/>
    <w:rsid w:val="00162A99"/>
    <w:rsid w:val="00163BA8"/>
    <w:rsid w:val="00164969"/>
    <w:rsid w:val="00165B3F"/>
    <w:rsid w:val="00166377"/>
    <w:rsid w:val="001703C2"/>
    <w:rsid w:val="0017195A"/>
    <w:rsid w:val="001728FD"/>
    <w:rsid w:val="00172D3C"/>
    <w:rsid w:val="0017391B"/>
    <w:rsid w:val="00175A92"/>
    <w:rsid w:val="00176F2C"/>
    <w:rsid w:val="0017730C"/>
    <w:rsid w:val="00177DEF"/>
    <w:rsid w:val="00180218"/>
    <w:rsid w:val="00180753"/>
    <w:rsid w:val="00180E8A"/>
    <w:rsid w:val="00181247"/>
    <w:rsid w:val="00181253"/>
    <w:rsid w:val="00182A06"/>
    <w:rsid w:val="0018383F"/>
    <w:rsid w:val="00184182"/>
    <w:rsid w:val="00184AE8"/>
    <w:rsid w:val="00184CFB"/>
    <w:rsid w:val="00184F71"/>
    <w:rsid w:val="00186776"/>
    <w:rsid w:val="00190078"/>
    <w:rsid w:val="00192527"/>
    <w:rsid w:val="00192E4D"/>
    <w:rsid w:val="00193AF0"/>
    <w:rsid w:val="00194CDA"/>
    <w:rsid w:val="00194DE6"/>
    <w:rsid w:val="00195D5C"/>
    <w:rsid w:val="00197A7A"/>
    <w:rsid w:val="001A0074"/>
    <w:rsid w:val="001A0F7B"/>
    <w:rsid w:val="001A1131"/>
    <w:rsid w:val="001A226D"/>
    <w:rsid w:val="001A53C4"/>
    <w:rsid w:val="001A6644"/>
    <w:rsid w:val="001A6F81"/>
    <w:rsid w:val="001A781C"/>
    <w:rsid w:val="001A7953"/>
    <w:rsid w:val="001A7F28"/>
    <w:rsid w:val="001B5AF8"/>
    <w:rsid w:val="001B6520"/>
    <w:rsid w:val="001B6936"/>
    <w:rsid w:val="001B75E2"/>
    <w:rsid w:val="001B7DB9"/>
    <w:rsid w:val="001C2692"/>
    <w:rsid w:val="001C3C19"/>
    <w:rsid w:val="001C40DA"/>
    <w:rsid w:val="001C4867"/>
    <w:rsid w:val="001C516A"/>
    <w:rsid w:val="001C5C58"/>
    <w:rsid w:val="001C61C3"/>
    <w:rsid w:val="001C696A"/>
    <w:rsid w:val="001D0384"/>
    <w:rsid w:val="001D20E3"/>
    <w:rsid w:val="001D2586"/>
    <w:rsid w:val="001D285F"/>
    <w:rsid w:val="001D5457"/>
    <w:rsid w:val="001D6AF5"/>
    <w:rsid w:val="001D6ECF"/>
    <w:rsid w:val="001D78ED"/>
    <w:rsid w:val="001D7E43"/>
    <w:rsid w:val="001E1072"/>
    <w:rsid w:val="001E325A"/>
    <w:rsid w:val="001E3AA1"/>
    <w:rsid w:val="001E3EA8"/>
    <w:rsid w:val="001E551F"/>
    <w:rsid w:val="001E6E6E"/>
    <w:rsid w:val="001E763D"/>
    <w:rsid w:val="001E7D42"/>
    <w:rsid w:val="001F1BE7"/>
    <w:rsid w:val="001F3C7D"/>
    <w:rsid w:val="001F68DE"/>
    <w:rsid w:val="001F6B14"/>
    <w:rsid w:val="00204E13"/>
    <w:rsid w:val="00205644"/>
    <w:rsid w:val="00205CCE"/>
    <w:rsid w:val="00207A05"/>
    <w:rsid w:val="00212E96"/>
    <w:rsid w:val="002137A1"/>
    <w:rsid w:val="00214170"/>
    <w:rsid w:val="002144A6"/>
    <w:rsid w:val="00215FFC"/>
    <w:rsid w:val="00216A02"/>
    <w:rsid w:val="0021781D"/>
    <w:rsid w:val="00217B66"/>
    <w:rsid w:val="00217EA0"/>
    <w:rsid w:val="00220C8E"/>
    <w:rsid w:val="00221262"/>
    <w:rsid w:val="00221D81"/>
    <w:rsid w:val="00224031"/>
    <w:rsid w:val="00224741"/>
    <w:rsid w:val="00224CD2"/>
    <w:rsid w:val="002266F1"/>
    <w:rsid w:val="00226B59"/>
    <w:rsid w:val="002311BD"/>
    <w:rsid w:val="002323D0"/>
    <w:rsid w:val="0023315D"/>
    <w:rsid w:val="00233524"/>
    <w:rsid w:val="00233956"/>
    <w:rsid w:val="00233ACF"/>
    <w:rsid w:val="002346CD"/>
    <w:rsid w:val="00236F35"/>
    <w:rsid w:val="00236F9D"/>
    <w:rsid w:val="00240AEF"/>
    <w:rsid w:val="0024397D"/>
    <w:rsid w:val="00243E3D"/>
    <w:rsid w:val="00244EDB"/>
    <w:rsid w:val="00247E65"/>
    <w:rsid w:val="0025305C"/>
    <w:rsid w:val="00254774"/>
    <w:rsid w:val="0025577D"/>
    <w:rsid w:val="00255CB4"/>
    <w:rsid w:val="0025607E"/>
    <w:rsid w:val="00256481"/>
    <w:rsid w:val="00261EA3"/>
    <w:rsid w:val="00263CA8"/>
    <w:rsid w:val="002643F3"/>
    <w:rsid w:val="0026448F"/>
    <w:rsid w:val="002660BC"/>
    <w:rsid w:val="00267042"/>
    <w:rsid w:val="00267FE2"/>
    <w:rsid w:val="0027020F"/>
    <w:rsid w:val="002707F7"/>
    <w:rsid w:val="00270B46"/>
    <w:rsid w:val="002721FA"/>
    <w:rsid w:val="00272E1D"/>
    <w:rsid w:val="00275F5E"/>
    <w:rsid w:val="002764CB"/>
    <w:rsid w:val="0027673E"/>
    <w:rsid w:val="00277A52"/>
    <w:rsid w:val="00281E9A"/>
    <w:rsid w:val="00283CA8"/>
    <w:rsid w:val="00284AD9"/>
    <w:rsid w:val="00284E5C"/>
    <w:rsid w:val="00285752"/>
    <w:rsid w:val="002905D8"/>
    <w:rsid w:val="00292ECE"/>
    <w:rsid w:val="00294B1B"/>
    <w:rsid w:val="00294CA9"/>
    <w:rsid w:val="00295998"/>
    <w:rsid w:val="002969C3"/>
    <w:rsid w:val="00296FD9"/>
    <w:rsid w:val="002A2068"/>
    <w:rsid w:val="002A206F"/>
    <w:rsid w:val="002A2980"/>
    <w:rsid w:val="002A4896"/>
    <w:rsid w:val="002A49B8"/>
    <w:rsid w:val="002A4E8C"/>
    <w:rsid w:val="002A5179"/>
    <w:rsid w:val="002A57D8"/>
    <w:rsid w:val="002A5D07"/>
    <w:rsid w:val="002B26A6"/>
    <w:rsid w:val="002B5274"/>
    <w:rsid w:val="002C12CE"/>
    <w:rsid w:val="002C155C"/>
    <w:rsid w:val="002C1FD9"/>
    <w:rsid w:val="002C2FAB"/>
    <w:rsid w:val="002C3395"/>
    <w:rsid w:val="002C4269"/>
    <w:rsid w:val="002C451D"/>
    <w:rsid w:val="002C547E"/>
    <w:rsid w:val="002C5F73"/>
    <w:rsid w:val="002C70CE"/>
    <w:rsid w:val="002D34A9"/>
    <w:rsid w:val="002D478C"/>
    <w:rsid w:val="002E373E"/>
    <w:rsid w:val="002E7287"/>
    <w:rsid w:val="002F00E3"/>
    <w:rsid w:val="002F2A9F"/>
    <w:rsid w:val="002F4183"/>
    <w:rsid w:val="002F475D"/>
    <w:rsid w:val="002F5272"/>
    <w:rsid w:val="002F664F"/>
    <w:rsid w:val="002F7155"/>
    <w:rsid w:val="002F71D6"/>
    <w:rsid w:val="002F7A63"/>
    <w:rsid w:val="0030068B"/>
    <w:rsid w:val="00302737"/>
    <w:rsid w:val="00303AB8"/>
    <w:rsid w:val="003045F6"/>
    <w:rsid w:val="00304D73"/>
    <w:rsid w:val="00305182"/>
    <w:rsid w:val="003056D6"/>
    <w:rsid w:val="00306E0A"/>
    <w:rsid w:val="00311567"/>
    <w:rsid w:val="00312C1B"/>
    <w:rsid w:val="00314B0B"/>
    <w:rsid w:val="00316098"/>
    <w:rsid w:val="00316631"/>
    <w:rsid w:val="00316EE5"/>
    <w:rsid w:val="00321A46"/>
    <w:rsid w:val="00321E62"/>
    <w:rsid w:val="00323299"/>
    <w:rsid w:val="0032477D"/>
    <w:rsid w:val="003262D2"/>
    <w:rsid w:val="00327329"/>
    <w:rsid w:val="00327499"/>
    <w:rsid w:val="00327DDD"/>
    <w:rsid w:val="0033058A"/>
    <w:rsid w:val="00330AC7"/>
    <w:rsid w:val="003317C3"/>
    <w:rsid w:val="0033195A"/>
    <w:rsid w:val="00332A82"/>
    <w:rsid w:val="003350EA"/>
    <w:rsid w:val="003371DB"/>
    <w:rsid w:val="0034021F"/>
    <w:rsid w:val="0034130D"/>
    <w:rsid w:val="0034133C"/>
    <w:rsid w:val="003416A3"/>
    <w:rsid w:val="00342143"/>
    <w:rsid w:val="0034375C"/>
    <w:rsid w:val="00343AC1"/>
    <w:rsid w:val="0034477A"/>
    <w:rsid w:val="0034596B"/>
    <w:rsid w:val="00346C40"/>
    <w:rsid w:val="00350083"/>
    <w:rsid w:val="003504FE"/>
    <w:rsid w:val="00351DF3"/>
    <w:rsid w:val="003521B8"/>
    <w:rsid w:val="00352316"/>
    <w:rsid w:val="00352977"/>
    <w:rsid w:val="003543C9"/>
    <w:rsid w:val="00354514"/>
    <w:rsid w:val="003550DA"/>
    <w:rsid w:val="003553D6"/>
    <w:rsid w:val="003558E7"/>
    <w:rsid w:val="00357C5C"/>
    <w:rsid w:val="00361CC3"/>
    <w:rsid w:val="003636A4"/>
    <w:rsid w:val="003649F4"/>
    <w:rsid w:val="00364B41"/>
    <w:rsid w:val="00365CE8"/>
    <w:rsid w:val="003668AF"/>
    <w:rsid w:val="00370741"/>
    <w:rsid w:val="0037146A"/>
    <w:rsid w:val="0037176A"/>
    <w:rsid w:val="00375479"/>
    <w:rsid w:val="0037664B"/>
    <w:rsid w:val="00380C4B"/>
    <w:rsid w:val="003814EF"/>
    <w:rsid w:val="003827C5"/>
    <w:rsid w:val="00383267"/>
    <w:rsid w:val="00383DA8"/>
    <w:rsid w:val="00383E3E"/>
    <w:rsid w:val="00384469"/>
    <w:rsid w:val="00387E28"/>
    <w:rsid w:val="00392557"/>
    <w:rsid w:val="00393270"/>
    <w:rsid w:val="00393D1A"/>
    <w:rsid w:val="00394D6A"/>
    <w:rsid w:val="00394F4A"/>
    <w:rsid w:val="003958CF"/>
    <w:rsid w:val="00396613"/>
    <w:rsid w:val="003A05A0"/>
    <w:rsid w:val="003A05C5"/>
    <w:rsid w:val="003A13CA"/>
    <w:rsid w:val="003A1AB1"/>
    <w:rsid w:val="003A1AEA"/>
    <w:rsid w:val="003A231A"/>
    <w:rsid w:val="003A3022"/>
    <w:rsid w:val="003A35A7"/>
    <w:rsid w:val="003A3BED"/>
    <w:rsid w:val="003A3DFE"/>
    <w:rsid w:val="003A415B"/>
    <w:rsid w:val="003A4A28"/>
    <w:rsid w:val="003A5B2A"/>
    <w:rsid w:val="003A683D"/>
    <w:rsid w:val="003B2D3A"/>
    <w:rsid w:val="003B441D"/>
    <w:rsid w:val="003B47FF"/>
    <w:rsid w:val="003B66A4"/>
    <w:rsid w:val="003B7C61"/>
    <w:rsid w:val="003C0F81"/>
    <w:rsid w:val="003C0FDC"/>
    <w:rsid w:val="003C1534"/>
    <w:rsid w:val="003C1628"/>
    <w:rsid w:val="003C2B1B"/>
    <w:rsid w:val="003C2DA5"/>
    <w:rsid w:val="003C43EF"/>
    <w:rsid w:val="003C464D"/>
    <w:rsid w:val="003C4B53"/>
    <w:rsid w:val="003D20C4"/>
    <w:rsid w:val="003D4D5B"/>
    <w:rsid w:val="003D70BB"/>
    <w:rsid w:val="003D72A1"/>
    <w:rsid w:val="003D76CD"/>
    <w:rsid w:val="003E0F35"/>
    <w:rsid w:val="003E14A9"/>
    <w:rsid w:val="003E22CB"/>
    <w:rsid w:val="003E258F"/>
    <w:rsid w:val="003E3F93"/>
    <w:rsid w:val="003E44AF"/>
    <w:rsid w:val="003E4568"/>
    <w:rsid w:val="003E60F8"/>
    <w:rsid w:val="003E7DDE"/>
    <w:rsid w:val="003F0F13"/>
    <w:rsid w:val="003F5DE1"/>
    <w:rsid w:val="003F5F7A"/>
    <w:rsid w:val="004000E2"/>
    <w:rsid w:val="00400274"/>
    <w:rsid w:val="00400B9A"/>
    <w:rsid w:val="00403D51"/>
    <w:rsid w:val="004102A4"/>
    <w:rsid w:val="00413021"/>
    <w:rsid w:val="00413518"/>
    <w:rsid w:val="0041369A"/>
    <w:rsid w:val="00415912"/>
    <w:rsid w:val="00416FB6"/>
    <w:rsid w:val="0042286B"/>
    <w:rsid w:val="00425F63"/>
    <w:rsid w:val="0043271A"/>
    <w:rsid w:val="00432796"/>
    <w:rsid w:val="00432EB4"/>
    <w:rsid w:val="00432F29"/>
    <w:rsid w:val="00434057"/>
    <w:rsid w:val="00435096"/>
    <w:rsid w:val="00440CE0"/>
    <w:rsid w:val="0044241B"/>
    <w:rsid w:val="00443A29"/>
    <w:rsid w:val="00443DE8"/>
    <w:rsid w:val="00444619"/>
    <w:rsid w:val="004448CA"/>
    <w:rsid w:val="004468BC"/>
    <w:rsid w:val="00447517"/>
    <w:rsid w:val="00450760"/>
    <w:rsid w:val="00450FE7"/>
    <w:rsid w:val="00451AA9"/>
    <w:rsid w:val="004527FE"/>
    <w:rsid w:val="00452EC7"/>
    <w:rsid w:val="00453175"/>
    <w:rsid w:val="00453780"/>
    <w:rsid w:val="0045398A"/>
    <w:rsid w:val="00455495"/>
    <w:rsid w:val="00461B64"/>
    <w:rsid w:val="0046519F"/>
    <w:rsid w:val="004657FC"/>
    <w:rsid w:val="0046678C"/>
    <w:rsid w:val="0046760B"/>
    <w:rsid w:val="004702B9"/>
    <w:rsid w:val="00470BB5"/>
    <w:rsid w:val="004718FE"/>
    <w:rsid w:val="00474B58"/>
    <w:rsid w:val="00474C83"/>
    <w:rsid w:val="00480DA8"/>
    <w:rsid w:val="004829FE"/>
    <w:rsid w:val="00483625"/>
    <w:rsid w:val="004854F8"/>
    <w:rsid w:val="0048572B"/>
    <w:rsid w:val="004871B3"/>
    <w:rsid w:val="00487807"/>
    <w:rsid w:val="00487944"/>
    <w:rsid w:val="00490153"/>
    <w:rsid w:val="004908D4"/>
    <w:rsid w:val="00492522"/>
    <w:rsid w:val="00492CAF"/>
    <w:rsid w:val="00494561"/>
    <w:rsid w:val="00495F6A"/>
    <w:rsid w:val="00496E0E"/>
    <w:rsid w:val="004A1723"/>
    <w:rsid w:val="004A1D57"/>
    <w:rsid w:val="004A2462"/>
    <w:rsid w:val="004A2A46"/>
    <w:rsid w:val="004A5050"/>
    <w:rsid w:val="004A7384"/>
    <w:rsid w:val="004A7843"/>
    <w:rsid w:val="004B329E"/>
    <w:rsid w:val="004B35BC"/>
    <w:rsid w:val="004B3E8D"/>
    <w:rsid w:val="004B50AE"/>
    <w:rsid w:val="004B5691"/>
    <w:rsid w:val="004B757F"/>
    <w:rsid w:val="004C0183"/>
    <w:rsid w:val="004C0761"/>
    <w:rsid w:val="004C280F"/>
    <w:rsid w:val="004C468D"/>
    <w:rsid w:val="004C554B"/>
    <w:rsid w:val="004C753E"/>
    <w:rsid w:val="004C7E89"/>
    <w:rsid w:val="004D3AE0"/>
    <w:rsid w:val="004D5110"/>
    <w:rsid w:val="004E06E9"/>
    <w:rsid w:val="004E197E"/>
    <w:rsid w:val="004E2C11"/>
    <w:rsid w:val="004E2E25"/>
    <w:rsid w:val="004F07E5"/>
    <w:rsid w:val="004F0B11"/>
    <w:rsid w:val="004F0D4F"/>
    <w:rsid w:val="004F0F57"/>
    <w:rsid w:val="004F2470"/>
    <w:rsid w:val="004F2D29"/>
    <w:rsid w:val="004F38B8"/>
    <w:rsid w:val="004F3C75"/>
    <w:rsid w:val="004F7A38"/>
    <w:rsid w:val="0050137C"/>
    <w:rsid w:val="005017BA"/>
    <w:rsid w:val="0050191F"/>
    <w:rsid w:val="00502117"/>
    <w:rsid w:val="00503688"/>
    <w:rsid w:val="005038F5"/>
    <w:rsid w:val="00503EE0"/>
    <w:rsid w:val="00504EE0"/>
    <w:rsid w:val="0050535B"/>
    <w:rsid w:val="005074B6"/>
    <w:rsid w:val="005104BB"/>
    <w:rsid w:val="00511841"/>
    <w:rsid w:val="005126A4"/>
    <w:rsid w:val="00515ECB"/>
    <w:rsid w:val="00520331"/>
    <w:rsid w:val="00521B6A"/>
    <w:rsid w:val="0052234D"/>
    <w:rsid w:val="00523217"/>
    <w:rsid w:val="00526159"/>
    <w:rsid w:val="00527D19"/>
    <w:rsid w:val="00530312"/>
    <w:rsid w:val="00530783"/>
    <w:rsid w:val="00530CAA"/>
    <w:rsid w:val="00531BD7"/>
    <w:rsid w:val="00534D2C"/>
    <w:rsid w:val="00536044"/>
    <w:rsid w:val="00536B89"/>
    <w:rsid w:val="00536CE1"/>
    <w:rsid w:val="00537533"/>
    <w:rsid w:val="005401AF"/>
    <w:rsid w:val="00540586"/>
    <w:rsid w:val="005417CD"/>
    <w:rsid w:val="00542D7E"/>
    <w:rsid w:val="005438C6"/>
    <w:rsid w:val="00547F83"/>
    <w:rsid w:val="00551421"/>
    <w:rsid w:val="005535E3"/>
    <w:rsid w:val="00554930"/>
    <w:rsid w:val="00554CC3"/>
    <w:rsid w:val="00556A53"/>
    <w:rsid w:val="005578DD"/>
    <w:rsid w:val="00557BF4"/>
    <w:rsid w:val="005607C4"/>
    <w:rsid w:val="00560DD5"/>
    <w:rsid w:val="0056434A"/>
    <w:rsid w:val="00565784"/>
    <w:rsid w:val="005660B4"/>
    <w:rsid w:val="0056695E"/>
    <w:rsid w:val="00570790"/>
    <w:rsid w:val="005720BF"/>
    <w:rsid w:val="00572D8A"/>
    <w:rsid w:val="00572E71"/>
    <w:rsid w:val="005736E3"/>
    <w:rsid w:val="005737EC"/>
    <w:rsid w:val="00573AC7"/>
    <w:rsid w:val="00575829"/>
    <w:rsid w:val="005803CD"/>
    <w:rsid w:val="005816FC"/>
    <w:rsid w:val="00581869"/>
    <w:rsid w:val="00581F9B"/>
    <w:rsid w:val="00583B84"/>
    <w:rsid w:val="0058430F"/>
    <w:rsid w:val="00584916"/>
    <w:rsid w:val="00584C2C"/>
    <w:rsid w:val="005856C6"/>
    <w:rsid w:val="005861B6"/>
    <w:rsid w:val="00593262"/>
    <w:rsid w:val="005943CB"/>
    <w:rsid w:val="00594456"/>
    <w:rsid w:val="00594D9A"/>
    <w:rsid w:val="00595263"/>
    <w:rsid w:val="005A031D"/>
    <w:rsid w:val="005A06D4"/>
    <w:rsid w:val="005A185B"/>
    <w:rsid w:val="005A2798"/>
    <w:rsid w:val="005A3617"/>
    <w:rsid w:val="005A384F"/>
    <w:rsid w:val="005A56A4"/>
    <w:rsid w:val="005A6341"/>
    <w:rsid w:val="005A6511"/>
    <w:rsid w:val="005A6EB7"/>
    <w:rsid w:val="005A7B5B"/>
    <w:rsid w:val="005B3518"/>
    <w:rsid w:val="005B41CA"/>
    <w:rsid w:val="005B71FB"/>
    <w:rsid w:val="005C1A32"/>
    <w:rsid w:val="005C1B2E"/>
    <w:rsid w:val="005C21FA"/>
    <w:rsid w:val="005C6C51"/>
    <w:rsid w:val="005D0D3F"/>
    <w:rsid w:val="005D112C"/>
    <w:rsid w:val="005D1834"/>
    <w:rsid w:val="005D28B7"/>
    <w:rsid w:val="005D53B6"/>
    <w:rsid w:val="005D6D7E"/>
    <w:rsid w:val="005D725E"/>
    <w:rsid w:val="005E5820"/>
    <w:rsid w:val="005E624A"/>
    <w:rsid w:val="005F324E"/>
    <w:rsid w:val="005F4B6C"/>
    <w:rsid w:val="005F4E97"/>
    <w:rsid w:val="005F6F31"/>
    <w:rsid w:val="005F7D60"/>
    <w:rsid w:val="006014B6"/>
    <w:rsid w:val="00601936"/>
    <w:rsid w:val="0060228B"/>
    <w:rsid w:val="0060434F"/>
    <w:rsid w:val="00604858"/>
    <w:rsid w:val="006050EE"/>
    <w:rsid w:val="006051A3"/>
    <w:rsid w:val="006053DE"/>
    <w:rsid w:val="0060618D"/>
    <w:rsid w:val="00611099"/>
    <w:rsid w:val="00612B1E"/>
    <w:rsid w:val="00612D8D"/>
    <w:rsid w:val="00614724"/>
    <w:rsid w:val="00615D54"/>
    <w:rsid w:val="00616684"/>
    <w:rsid w:val="00617974"/>
    <w:rsid w:val="006211BC"/>
    <w:rsid w:val="006222B0"/>
    <w:rsid w:val="00624399"/>
    <w:rsid w:val="006250FB"/>
    <w:rsid w:val="00625A94"/>
    <w:rsid w:val="00626214"/>
    <w:rsid w:val="00626273"/>
    <w:rsid w:val="00626E96"/>
    <w:rsid w:val="006278C0"/>
    <w:rsid w:val="00631E30"/>
    <w:rsid w:val="00633253"/>
    <w:rsid w:val="006343B2"/>
    <w:rsid w:val="00634978"/>
    <w:rsid w:val="006349AE"/>
    <w:rsid w:val="00634F83"/>
    <w:rsid w:val="006351A2"/>
    <w:rsid w:val="00635656"/>
    <w:rsid w:val="00635C86"/>
    <w:rsid w:val="00637636"/>
    <w:rsid w:val="00641E93"/>
    <w:rsid w:val="00643129"/>
    <w:rsid w:val="00644A8B"/>
    <w:rsid w:val="00647D86"/>
    <w:rsid w:val="00652006"/>
    <w:rsid w:val="0065246C"/>
    <w:rsid w:val="0065549B"/>
    <w:rsid w:val="00661D55"/>
    <w:rsid w:val="006651FC"/>
    <w:rsid w:val="00665241"/>
    <w:rsid w:val="00665277"/>
    <w:rsid w:val="006655A4"/>
    <w:rsid w:val="006664DF"/>
    <w:rsid w:val="00667719"/>
    <w:rsid w:val="00671C60"/>
    <w:rsid w:val="00672E7A"/>
    <w:rsid w:val="006736ED"/>
    <w:rsid w:val="00673DC6"/>
    <w:rsid w:val="00674C23"/>
    <w:rsid w:val="00675241"/>
    <w:rsid w:val="00675D68"/>
    <w:rsid w:val="00676FF0"/>
    <w:rsid w:val="00677C85"/>
    <w:rsid w:val="00680748"/>
    <w:rsid w:val="00680AF7"/>
    <w:rsid w:val="00681CD4"/>
    <w:rsid w:val="006827E4"/>
    <w:rsid w:val="006839D2"/>
    <w:rsid w:val="006851AB"/>
    <w:rsid w:val="006867F9"/>
    <w:rsid w:val="00686948"/>
    <w:rsid w:val="00691CC4"/>
    <w:rsid w:val="00691F10"/>
    <w:rsid w:val="0069273F"/>
    <w:rsid w:val="00693BED"/>
    <w:rsid w:val="006942F4"/>
    <w:rsid w:val="006950B9"/>
    <w:rsid w:val="00695779"/>
    <w:rsid w:val="00695965"/>
    <w:rsid w:val="006960B5"/>
    <w:rsid w:val="006A1B9F"/>
    <w:rsid w:val="006A3251"/>
    <w:rsid w:val="006A360F"/>
    <w:rsid w:val="006A3E2C"/>
    <w:rsid w:val="006A5CF6"/>
    <w:rsid w:val="006A7B8B"/>
    <w:rsid w:val="006B03E4"/>
    <w:rsid w:val="006B04CE"/>
    <w:rsid w:val="006B17E1"/>
    <w:rsid w:val="006B3540"/>
    <w:rsid w:val="006B4C68"/>
    <w:rsid w:val="006B53E2"/>
    <w:rsid w:val="006B5478"/>
    <w:rsid w:val="006C0080"/>
    <w:rsid w:val="006C1C1B"/>
    <w:rsid w:val="006C1DD6"/>
    <w:rsid w:val="006C3518"/>
    <w:rsid w:val="006C3FD7"/>
    <w:rsid w:val="006C44E9"/>
    <w:rsid w:val="006C4C77"/>
    <w:rsid w:val="006C7539"/>
    <w:rsid w:val="006D1BF1"/>
    <w:rsid w:val="006D34BA"/>
    <w:rsid w:val="006D374D"/>
    <w:rsid w:val="006D3FDB"/>
    <w:rsid w:val="006D658C"/>
    <w:rsid w:val="006E18CB"/>
    <w:rsid w:val="006E282A"/>
    <w:rsid w:val="006E3482"/>
    <w:rsid w:val="006E4DEC"/>
    <w:rsid w:val="006E52A8"/>
    <w:rsid w:val="006E54E8"/>
    <w:rsid w:val="006E59B8"/>
    <w:rsid w:val="006E5F96"/>
    <w:rsid w:val="006E6627"/>
    <w:rsid w:val="006E67EA"/>
    <w:rsid w:val="006F04ED"/>
    <w:rsid w:val="006F0A51"/>
    <w:rsid w:val="006F255E"/>
    <w:rsid w:val="006F2998"/>
    <w:rsid w:val="006F354E"/>
    <w:rsid w:val="006F3D64"/>
    <w:rsid w:val="006F5D4E"/>
    <w:rsid w:val="006F647A"/>
    <w:rsid w:val="006F657F"/>
    <w:rsid w:val="006F746C"/>
    <w:rsid w:val="006F7A4C"/>
    <w:rsid w:val="00702AC5"/>
    <w:rsid w:val="00704FE4"/>
    <w:rsid w:val="00705DFE"/>
    <w:rsid w:val="00713DB8"/>
    <w:rsid w:val="00715514"/>
    <w:rsid w:val="0071598D"/>
    <w:rsid w:val="00715B36"/>
    <w:rsid w:val="007164AA"/>
    <w:rsid w:val="007172F1"/>
    <w:rsid w:val="00720AF1"/>
    <w:rsid w:val="00720EDD"/>
    <w:rsid w:val="00721618"/>
    <w:rsid w:val="00721F36"/>
    <w:rsid w:val="00722B5D"/>
    <w:rsid w:val="007252EE"/>
    <w:rsid w:val="00725EA1"/>
    <w:rsid w:val="00726A4A"/>
    <w:rsid w:val="007333B9"/>
    <w:rsid w:val="00733B6F"/>
    <w:rsid w:val="0073427D"/>
    <w:rsid w:val="00740EAC"/>
    <w:rsid w:val="007412C3"/>
    <w:rsid w:val="0074344B"/>
    <w:rsid w:val="00745E9A"/>
    <w:rsid w:val="00750EA1"/>
    <w:rsid w:val="00752484"/>
    <w:rsid w:val="007577DC"/>
    <w:rsid w:val="0076214F"/>
    <w:rsid w:val="00764377"/>
    <w:rsid w:val="007649B9"/>
    <w:rsid w:val="00767A38"/>
    <w:rsid w:val="00767BB1"/>
    <w:rsid w:val="00771668"/>
    <w:rsid w:val="00772BE1"/>
    <w:rsid w:val="007730F1"/>
    <w:rsid w:val="0077341A"/>
    <w:rsid w:val="007737B6"/>
    <w:rsid w:val="00774F22"/>
    <w:rsid w:val="00775A4F"/>
    <w:rsid w:val="00782307"/>
    <w:rsid w:val="00782F74"/>
    <w:rsid w:val="00783551"/>
    <w:rsid w:val="00784F23"/>
    <w:rsid w:val="007851FC"/>
    <w:rsid w:val="0078560A"/>
    <w:rsid w:val="00785BF8"/>
    <w:rsid w:val="00787012"/>
    <w:rsid w:val="00787544"/>
    <w:rsid w:val="00790CB6"/>
    <w:rsid w:val="00791DCE"/>
    <w:rsid w:val="0079226E"/>
    <w:rsid w:val="00793C28"/>
    <w:rsid w:val="00794935"/>
    <w:rsid w:val="00795DAE"/>
    <w:rsid w:val="00796005"/>
    <w:rsid w:val="007979D2"/>
    <w:rsid w:val="007A05ED"/>
    <w:rsid w:val="007A27AA"/>
    <w:rsid w:val="007A45CE"/>
    <w:rsid w:val="007A55B0"/>
    <w:rsid w:val="007A6C54"/>
    <w:rsid w:val="007A6E48"/>
    <w:rsid w:val="007A705F"/>
    <w:rsid w:val="007B0DDC"/>
    <w:rsid w:val="007B11DD"/>
    <w:rsid w:val="007B2073"/>
    <w:rsid w:val="007B2486"/>
    <w:rsid w:val="007B24CD"/>
    <w:rsid w:val="007B262D"/>
    <w:rsid w:val="007B5415"/>
    <w:rsid w:val="007C0902"/>
    <w:rsid w:val="007C0E6F"/>
    <w:rsid w:val="007C2B34"/>
    <w:rsid w:val="007C3E50"/>
    <w:rsid w:val="007C62EF"/>
    <w:rsid w:val="007C66DC"/>
    <w:rsid w:val="007C709C"/>
    <w:rsid w:val="007D0172"/>
    <w:rsid w:val="007D0F81"/>
    <w:rsid w:val="007D407D"/>
    <w:rsid w:val="007D4512"/>
    <w:rsid w:val="007D670D"/>
    <w:rsid w:val="007D7EA9"/>
    <w:rsid w:val="007E3F10"/>
    <w:rsid w:val="007E7D06"/>
    <w:rsid w:val="007F0D98"/>
    <w:rsid w:val="007F1CE6"/>
    <w:rsid w:val="007F2E0A"/>
    <w:rsid w:val="007F3814"/>
    <w:rsid w:val="007F4762"/>
    <w:rsid w:val="007F47CA"/>
    <w:rsid w:val="007F7CEF"/>
    <w:rsid w:val="008025A0"/>
    <w:rsid w:val="00802DDE"/>
    <w:rsid w:val="008032DD"/>
    <w:rsid w:val="0080435B"/>
    <w:rsid w:val="00804FD8"/>
    <w:rsid w:val="008052B0"/>
    <w:rsid w:val="00805D85"/>
    <w:rsid w:val="00806546"/>
    <w:rsid w:val="00810DB9"/>
    <w:rsid w:val="008126F7"/>
    <w:rsid w:val="008138BD"/>
    <w:rsid w:val="00813FDE"/>
    <w:rsid w:val="008147E7"/>
    <w:rsid w:val="00814A8E"/>
    <w:rsid w:val="00817315"/>
    <w:rsid w:val="008206E2"/>
    <w:rsid w:val="0082146C"/>
    <w:rsid w:val="008217FB"/>
    <w:rsid w:val="008225C9"/>
    <w:rsid w:val="00822631"/>
    <w:rsid w:val="00822900"/>
    <w:rsid w:val="00824CBF"/>
    <w:rsid w:val="00826653"/>
    <w:rsid w:val="00827DE9"/>
    <w:rsid w:val="00841729"/>
    <w:rsid w:val="0084250C"/>
    <w:rsid w:val="008425D0"/>
    <w:rsid w:val="0084334C"/>
    <w:rsid w:val="00843642"/>
    <w:rsid w:val="00843E58"/>
    <w:rsid w:val="0084478E"/>
    <w:rsid w:val="00844A61"/>
    <w:rsid w:val="00851368"/>
    <w:rsid w:val="00852869"/>
    <w:rsid w:val="00854867"/>
    <w:rsid w:val="00856274"/>
    <w:rsid w:val="00856558"/>
    <w:rsid w:val="00856DB6"/>
    <w:rsid w:val="008572F7"/>
    <w:rsid w:val="008573DE"/>
    <w:rsid w:val="00857F56"/>
    <w:rsid w:val="0086024D"/>
    <w:rsid w:val="00860487"/>
    <w:rsid w:val="008606E9"/>
    <w:rsid w:val="008607D3"/>
    <w:rsid w:val="008613B8"/>
    <w:rsid w:val="008614E2"/>
    <w:rsid w:val="0086339E"/>
    <w:rsid w:val="00864921"/>
    <w:rsid w:val="00865BB4"/>
    <w:rsid w:val="0086736A"/>
    <w:rsid w:val="008674B6"/>
    <w:rsid w:val="008676F3"/>
    <w:rsid w:val="00871F8E"/>
    <w:rsid w:val="00872276"/>
    <w:rsid w:val="00873F89"/>
    <w:rsid w:val="00874162"/>
    <w:rsid w:val="00876268"/>
    <w:rsid w:val="008767E4"/>
    <w:rsid w:val="0087683D"/>
    <w:rsid w:val="00881271"/>
    <w:rsid w:val="00882C99"/>
    <w:rsid w:val="008871BE"/>
    <w:rsid w:val="00887F56"/>
    <w:rsid w:val="008909A1"/>
    <w:rsid w:val="00890DB2"/>
    <w:rsid w:val="0089240C"/>
    <w:rsid w:val="00892B7E"/>
    <w:rsid w:val="00895AF0"/>
    <w:rsid w:val="00895C97"/>
    <w:rsid w:val="0089639D"/>
    <w:rsid w:val="00896D79"/>
    <w:rsid w:val="00897D59"/>
    <w:rsid w:val="008A005F"/>
    <w:rsid w:val="008A159B"/>
    <w:rsid w:val="008A401F"/>
    <w:rsid w:val="008A689A"/>
    <w:rsid w:val="008A6E06"/>
    <w:rsid w:val="008A76A4"/>
    <w:rsid w:val="008B1337"/>
    <w:rsid w:val="008B2D5E"/>
    <w:rsid w:val="008B37DF"/>
    <w:rsid w:val="008B3804"/>
    <w:rsid w:val="008B564C"/>
    <w:rsid w:val="008B6AC5"/>
    <w:rsid w:val="008C0CA6"/>
    <w:rsid w:val="008C1CF8"/>
    <w:rsid w:val="008C3587"/>
    <w:rsid w:val="008C45E1"/>
    <w:rsid w:val="008C4F77"/>
    <w:rsid w:val="008D11E6"/>
    <w:rsid w:val="008D16A4"/>
    <w:rsid w:val="008D3839"/>
    <w:rsid w:val="008D4015"/>
    <w:rsid w:val="008D4571"/>
    <w:rsid w:val="008D4DCD"/>
    <w:rsid w:val="008D4E10"/>
    <w:rsid w:val="008D5677"/>
    <w:rsid w:val="008D6489"/>
    <w:rsid w:val="008D7010"/>
    <w:rsid w:val="008D7F12"/>
    <w:rsid w:val="008E0238"/>
    <w:rsid w:val="008E09E7"/>
    <w:rsid w:val="008E1598"/>
    <w:rsid w:val="008E2560"/>
    <w:rsid w:val="008E4093"/>
    <w:rsid w:val="008E4468"/>
    <w:rsid w:val="008E4DEC"/>
    <w:rsid w:val="008E4F2B"/>
    <w:rsid w:val="008E55AE"/>
    <w:rsid w:val="008E6929"/>
    <w:rsid w:val="008E69BF"/>
    <w:rsid w:val="008E7AB4"/>
    <w:rsid w:val="008E7C9B"/>
    <w:rsid w:val="008E7DE7"/>
    <w:rsid w:val="008F1EF5"/>
    <w:rsid w:val="008F27CE"/>
    <w:rsid w:val="008F38C7"/>
    <w:rsid w:val="008F3C4D"/>
    <w:rsid w:val="00900C1A"/>
    <w:rsid w:val="009052FB"/>
    <w:rsid w:val="009070F0"/>
    <w:rsid w:val="00907D17"/>
    <w:rsid w:val="00910F15"/>
    <w:rsid w:val="00915EEF"/>
    <w:rsid w:val="009170F7"/>
    <w:rsid w:val="00920686"/>
    <w:rsid w:val="00921681"/>
    <w:rsid w:val="00921962"/>
    <w:rsid w:val="00921D49"/>
    <w:rsid w:val="00922425"/>
    <w:rsid w:val="00923FC9"/>
    <w:rsid w:val="00926242"/>
    <w:rsid w:val="009273EC"/>
    <w:rsid w:val="009320FA"/>
    <w:rsid w:val="009342CC"/>
    <w:rsid w:val="009367E2"/>
    <w:rsid w:val="00937F69"/>
    <w:rsid w:val="0094223C"/>
    <w:rsid w:val="00942F2E"/>
    <w:rsid w:val="00945544"/>
    <w:rsid w:val="00945A9B"/>
    <w:rsid w:val="00945C87"/>
    <w:rsid w:val="00947080"/>
    <w:rsid w:val="009509E9"/>
    <w:rsid w:val="00950A71"/>
    <w:rsid w:val="00950C03"/>
    <w:rsid w:val="009523EE"/>
    <w:rsid w:val="009525E5"/>
    <w:rsid w:val="00952A72"/>
    <w:rsid w:val="00955E6F"/>
    <w:rsid w:val="00955FBB"/>
    <w:rsid w:val="00956692"/>
    <w:rsid w:val="00957DF4"/>
    <w:rsid w:val="00960C1E"/>
    <w:rsid w:val="00960E2D"/>
    <w:rsid w:val="009623C7"/>
    <w:rsid w:val="00964535"/>
    <w:rsid w:val="00966717"/>
    <w:rsid w:val="009704E5"/>
    <w:rsid w:val="009707C5"/>
    <w:rsid w:val="00970E29"/>
    <w:rsid w:val="0097274B"/>
    <w:rsid w:val="009735E6"/>
    <w:rsid w:val="00973B58"/>
    <w:rsid w:val="00973DB7"/>
    <w:rsid w:val="009745FE"/>
    <w:rsid w:val="00975B3E"/>
    <w:rsid w:val="00975EE0"/>
    <w:rsid w:val="00976110"/>
    <w:rsid w:val="009763B7"/>
    <w:rsid w:val="00977A94"/>
    <w:rsid w:val="009813A9"/>
    <w:rsid w:val="009815CD"/>
    <w:rsid w:val="00981EAD"/>
    <w:rsid w:val="00981EBA"/>
    <w:rsid w:val="0098301A"/>
    <w:rsid w:val="0098781B"/>
    <w:rsid w:val="0099006D"/>
    <w:rsid w:val="00994EB9"/>
    <w:rsid w:val="00995920"/>
    <w:rsid w:val="00996B5E"/>
    <w:rsid w:val="009A2FD9"/>
    <w:rsid w:val="009A38B6"/>
    <w:rsid w:val="009A59F3"/>
    <w:rsid w:val="009A68A0"/>
    <w:rsid w:val="009B202B"/>
    <w:rsid w:val="009B3B58"/>
    <w:rsid w:val="009B3C01"/>
    <w:rsid w:val="009B42BB"/>
    <w:rsid w:val="009B5E8F"/>
    <w:rsid w:val="009B6C74"/>
    <w:rsid w:val="009B73F1"/>
    <w:rsid w:val="009C2327"/>
    <w:rsid w:val="009C38E1"/>
    <w:rsid w:val="009C482A"/>
    <w:rsid w:val="009C6626"/>
    <w:rsid w:val="009C72D3"/>
    <w:rsid w:val="009C7430"/>
    <w:rsid w:val="009D00D3"/>
    <w:rsid w:val="009D05DF"/>
    <w:rsid w:val="009D1AE9"/>
    <w:rsid w:val="009D2206"/>
    <w:rsid w:val="009D325B"/>
    <w:rsid w:val="009D36DA"/>
    <w:rsid w:val="009D3BAC"/>
    <w:rsid w:val="009D45B8"/>
    <w:rsid w:val="009D4FE9"/>
    <w:rsid w:val="009D594F"/>
    <w:rsid w:val="009D5D10"/>
    <w:rsid w:val="009D624F"/>
    <w:rsid w:val="009D63B0"/>
    <w:rsid w:val="009D694A"/>
    <w:rsid w:val="009E0C7F"/>
    <w:rsid w:val="009E1997"/>
    <w:rsid w:val="009E2CC7"/>
    <w:rsid w:val="009E4092"/>
    <w:rsid w:val="009E65DD"/>
    <w:rsid w:val="009E6A84"/>
    <w:rsid w:val="009F1D78"/>
    <w:rsid w:val="009F2DBE"/>
    <w:rsid w:val="009F3CD6"/>
    <w:rsid w:val="009F4E4E"/>
    <w:rsid w:val="009F5289"/>
    <w:rsid w:val="009F5514"/>
    <w:rsid w:val="009F665C"/>
    <w:rsid w:val="00A0023F"/>
    <w:rsid w:val="00A015E5"/>
    <w:rsid w:val="00A06651"/>
    <w:rsid w:val="00A07979"/>
    <w:rsid w:val="00A12814"/>
    <w:rsid w:val="00A12E1E"/>
    <w:rsid w:val="00A13688"/>
    <w:rsid w:val="00A1423C"/>
    <w:rsid w:val="00A15540"/>
    <w:rsid w:val="00A16077"/>
    <w:rsid w:val="00A2102A"/>
    <w:rsid w:val="00A21160"/>
    <w:rsid w:val="00A216AA"/>
    <w:rsid w:val="00A2183E"/>
    <w:rsid w:val="00A2308A"/>
    <w:rsid w:val="00A236E1"/>
    <w:rsid w:val="00A253DC"/>
    <w:rsid w:val="00A25BCB"/>
    <w:rsid w:val="00A265CE"/>
    <w:rsid w:val="00A30A91"/>
    <w:rsid w:val="00A3295F"/>
    <w:rsid w:val="00A33D1E"/>
    <w:rsid w:val="00A34D46"/>
    <w:rsid w:val="00A363B6"/>
    <w:rsid w:val="00A369A6"/>
    <w:rsid w:val="00A40368"/>
    <w:rsid w:val="00A40B7C"/>
    <w:rsid w:val="00A4284B"/>
    <w:rsid w:val="00A42A24"/>
    <w:rsid w:val="00A42C4C"/>
    <w:rsid w:val="00A43EB7"/>
    <w:rsid w:val="00A44FDC"/>
    <w:rsid w:val="00A45FEF"/>
    <w:rsid w:val="00A464AC"/>
    <w:rsid w:val="00A5008B"/>
    <w:rsid w:val="00A5173B"/>
    <w:rsid w:val="00A53367"/>
    <w:rsid w:val="00A54666"/>
    <w:rsid w:val="00A56195"/>
    <w:rsid w:val="00A56364"/>
    <w:rsid w:val="00A60422"/>
    <w:rsid w:val="00A60E51"/>
    <w:rsid w:val="00A63158"/>
    <w:rsid w:val="00A64DFC"/>
    <w:rsid w:val="00A7052E"/>
    <w:rsid w:val="00A7382F"/>
    <w:rsid w:val="00A73B8C"/>
    <w:rsid w:val="00A75277"/>
    <w:rsid w:val="00A752FE"/>
    <w:rsid w:val="00A810AB"/>
    <w:rsid w:val="00A82FE0"/>
    <w:rsid w:val="00A8431B"/>
    <w:rsid w:val="00A8482E"/>
    <w:rsid w:val="00A84C96"/>
    <w:rsid w:val="00A84F27"/>
    <w:rsid w:val="00A86496"/>
    <w:rsid w:val="00A86D92"/>
    <w:rsid w:val="00A87560"/>
    <w:rsid w:val="00A91ABA"/>
    <w:rsid w:val="00A91BE5"/>
    <w:rsid w:val="00A9535D"/>
    <w:rsid w:val="00A97002"/>
    <w:rsid w:val="00A97A29"/>
    <w:rsid w:val="00A97EE2"/>
    <w:rsid w:val="00AA0A98"/>
    <w:rsid w:val="00AA2025"/>
    <w:rsid w:val="00AA2334"/>
    <w:rsid w:val="00AA525B"/>
    <w:rsid w:val="00AA598D"/>
    <w:rsid w:val="00AA5AE7"/>
    <w:rsid w:val="00AA7092"/>
    <w:rsid w:val="00AA78DC"/>
    <w:rsid w:val="00AB0008"/>
    <w:rsid w:val="00AB041C"/>
    <w:rsid w:val="00AB1270"/>
    <w:rsid w:val="00AB262D"/>
    <w:rsid w:val="00AB664E"/>
    <w:rsid w:val="00AB6C62"/>
    <w:rsid w:val="00AB7948"/>
    <w:rsid w:val="00AB7E17"/>
    <w:rsid w:val="00AC039F"/>
    <w:rsid w:val="00AC15FE"/>
    <w:rsid w:val="00AC5877"/>
    <w:rsid w:val="00AC679B"/>
    <w:rsid w:val="00AC6F02"/>
    <w:rsid w:val="00AC7AE7"/>
    <w:rsid w:val="00AD287A"/>
    <w:rsid w:val="00AD4328"/>
    <w:rsid w:val="00AD5B65"/>
    <w:rsid w:val="00AD6239"/>
    <w:rsid w:val="00AD6388"/>
    <w:rsid w:val="00AD75A9"/>
    <w:rsid w:val="00AD777E"/>
    <w:rsid w:val="00AD7D57"/>
    <w:rsid w:val="00AD7E03"/>
    <w:rsid w:val="00AD7F25"/>
    <w:rsid w:val="00AE224C"/>
    <w:rsid w:val="00AE3650"/>
    <w:rsid w:val="00AE4853"/>
    <w:rsid w:val="00AE5B27"/>
    <w:rsid w:val="00AE610D"/>
    <w:rsid w:val="00AE6801"/>
    <w:rsid w:val="00AE6E53"/>
    <w:rsid w:val="00AF0EAF"/>
    <w:rsid w:val="00AF1352"/>
    <w:rsid w:val="00AF1CA3"/>
    <w:rsid w:val="00AF1CEF"/>
    <w:rsid w:val="00AF5886"/>
    <w:rsid w:val="00AF738F"/>
    <w:rsid w:val="00B007CA"/>
    <w:rsid w:val="00B01222"/>
    <w:rsid w:val="00B01292"/>
    <w:rsid w:val="00B0187F"/>
    <w:rsid w:val="00B03B5F"/>
    <w:rsid w:val="00B041F4"/>
    <w:rsid w:val="00B04BD3"/>
    <w:rsid w:val="00B070CE"/>
    <w:rsid w:val="00B1267E"/>
    <w:rsid w:val="00B12832"/>
    <w:rsid w:val="00B128B5"/>
    <w:rsid w:val="00B1307E"/>
    <w:rsid w:val="00B14EA7"/>
    <w:rsid w:val="00B16275"/>
    <w:rsid w:val="00B21369"/>
    <w:rsid w:val="00B22721"/>
    <w:rsid w:val="00B25B82"/>
    <w:rsid w:val="00B26F08"/>
    <w:rsid w:val="00B33732"/>
    <w:rsid w:val="00B33834"/>
    <w:rsid w:val="00B358FB"/>
    <w:rsid w:val="00B36132"/>
    <w:rsid w:val="00B366A0"/>
    <w:rsid w:val="00B40C82"/>
    <w:rsid w:val="00B42F80"/>
    <w:rsid w:val="00B458D2"/>
    <w:rsid w:val="00B477AA"/>
    <w:rsid w:val="00B57E44"/>
    <w:rsid w:val="00B62912"/>
    <w:rsid w:val="00B66AC5"/>
    <w:rsid w:val="00B70479"/>
    <w:rsid w:val="00B70A4C"/>
    <w:rsid w:val="00B72880"/>
    <w:rsid w:val="00B73637"/>
    <w:rsid w:val="00B73A57"/>
    <w:rsid w:val="00B74E39"/>
    <w:rsid w:val="00B750FA"/>
    <w:rsid w:val="00B77597"/>
    <w:rsid w:val="00B775A7"/>
    <w:rsid w:val="00B80D86"/>
    <w:rsid w:val="00B8119C"/>
    <w:rsid w:val="00B81535"/>
    <w:rsid w:val="00B835EA"/>
    <w:rsid w:val="00B839C8"/>
    <w:rsid w:val="00B86009"/>
    <w:rsid w:val="00B87DD9"/>
    <w:rsid w:val="00B92720"/>
    <w:rsid w:val="00B92AD3"/>
    <w:rsid w:val="00B92DA9"/>
    <w:rsid w:val="00B94097"/>
    <w:rsid w:val="00B96275"/>
    <w:rsid w:val="00B97B96"/>
    <w:rsid w:val="00BA0926"/>
    <w:rsid w:val="00BA19EA"/>
    <w:rsid w:val="00BA2F73"/>
    <w:rsid w:val="00BA329C"/>
    <w:rsid w:val="00BA38CD"/>
    <w:rsid w:val="00BA3E6D"/>
    <w:rsid w:val="00BA48F6"/>
    <w:rsid w:val="00BA6793"/>
    <w:rsid w:val="00BA7C08"/>
    <w:rsid w:val="00BB151C"/>
    <w:rsid w:val="00BB1A88"/>
    <w:rsid w:val="00BB1B23"/>
    <w:rsid w:val="00BB1F27"/>
    <w:rsid w:val="00BB30AB"/>
    <w:rsid w:val="00BB62A9"/>
    <w:rsid w:val="00BB7CA0"/>
    <w:rsid w:val="00BC14C9"/>
    <w:rsid w:val="00BC3EDC"/>
    <w:rsid w:val="00BC530C"/>
    <w:rsid w:val="00BC5D8D"/>
    <w:rsid w:val="00BC610B"/>
    <w:rsid w:val="00BC6403"/>
    <w:rsid w:val="00BD030B"/>
    <w:rsid w:val="00BD0F4E"/>
    <w:rsid w:val="00BD1C6C"/>
    <w:rsid w:val="00BD2469"/>
    <w:rsid w:val="00BD3554"/>
    <w:rsid w:val="00BD3719"/>
    <w:rsid w:val="00BD3C18"/>
    <w:rsid w:val="00BD4FFF"/>
    <w:rsid w:val="00BD5DCA"/>
    <w:rsid w:val="00BD6424"/>
    <w:rsid w:val="00BD7B4D"/>
    <w:rsid w:val="00BE1DCB"/>
    <w:rsid w:val="00BE2F66"/>
    <w:rsid w:val="00BE42B5"/>
    <w:rsid w:val="00BE4709"/>
    <w:rsid w:val="00BF06D9"/>
    <w:rsid w:val="00BF0A87"/>
    <w:rsid w:val="00BF1407"/>
    <w:rsid w:val="00BF25A0"/>
    <w:rsid w:val="00BF2649"/>
    <w:rsid w:val="00BF2D1A"/>
    <w:rsid w:val="00BF6419"/>
    <w:rsid w:val="00BF7A8C"/>
    <w:rsid w:val="00C01567"/>
    <w:rsid w:val="00C029B2"/>
    <w:rsid w:val="00C04F43"/>
    <w:rsid w:val="00C05B04"/>
    <w:rsid w:val="00C10594"/>
    <w:rsid w:val="00C11FA2"/>
    <w:rsid w:val="00C12AAF"/>
    <w:rsid w:val="00C13610"/>
    <w:rsid w:val="00C14A0C"/>
    <w:rsid w:val="00C14B7E"/>
    <w:rsid w:val="00C15387"/>
    <w:rsid w:val="00C16DF1"/>
    <w:rsid w:val="00C17326"/>
    <w:rsid w:val="00C21726"/>
    <w:rsid w:val="00C22435"/>
    <w:rsid w:val="00C22E4F"/>
    <w:rsid w:val="00C23973"/>
    <w:rsid w:val="00C24966"/>
    <w:rsid w:val="00C26E07"/>
    <w:rsid w:val="00C274F2"/>
    <w:rsid w:val="00C30CAB"/>
    <w:rsid w:val="00C316C3"/>
    <w:rsid w:val="00C31F6E"/>
    <w:rsid w:val="00C328ED"/>
    <w:rsid w:val="00C3346D"/>
    <w:rsid w:val="00C340E1"/>
    <w:rsid w:val="00C35260"/>
    <w:rsid w:val="00C355D8"/>
    <w:rsid w:val="00C36613"/>
    <w:rsid w:val="00C401DB"/>
    <w:rsid w:val="00C42AC6"/>
    <w:rsid w:val="00C42CC5"/>
    <w:rsid w:val="00C42E79"/>
    <w:rsid w:val="00C453CA"/>
    <w:rsid w:val="00C51AC5"/>
    <w:rsid w:val="00C52410"/>
    <w:rsid w:val="00C55BB0"/>
    <w:rsid w:val="00C55D58"/>
    <w:rsid w:val="00C56A08"/>
    <w:rsid w:val="00C61D7F"/>
    <w:rsid w:val="00C645A5"/>
    <w:rsid w:val="00C7280C"/>
    <w:rsid w:val="00C7734E"/>
    <w:rsid w:val="00C80357"/>
    <w:rsid w:val="00C82706"/>
    <w:rsid w:val="00C82A59"/>
    <w:rsid w:val="00C837C8"/>
    <w:rsid w:val="00C87016"/>
    <w:rsid w:val="00C87017"/>
    <w:rsid w:val="00C8752A"/>
    <w:rsid w:val="00C87C09"/>
    <w:rsid w:val="00C910F4"/>
    <w:rsid w:val="00C92F15"/>
    <w:rsid w:val="00C93119"/>
    <w:rsid w:val="00C944FE"/>
    <w:rsid w:val="00C95248"/>
    <w:rsid w:val="00C95CB5"/>
    <w:rsid w:val="00C95E4E"/>
    <w:rsid w:val="00C95EDC"/>
    <w:rsid w:val="00C96108"/>
    <w:rsid w:val="00C97029"/>
    <w:rsid w:val="00C9717D"/>
    <w:rsid w:val="00C97429"/>
    <w:rsid w:val="00CA0A36"/>
    <w:rsid w:val="00CA0FB7"/>
    <w:rsid w:val="00CA13B1"/>
    <w:rsid w:val="00CA2F72"/>
    <w:rsid w:val="00CA3B94"/>
    <w:rsid w:val="00CA59DE"/>
    <w:rsid w:val="00CA5A05"/>
    <w:rsid w:val="00CA6A76"/>
    <w:rsid w:val="00CA7734"/>
    <w:rsid w:val="00CB0D81"/>
    <w:rsid w:val="00CB2C07"/>
    <w:rsid w:val="00CB399B"/>
    <w:rsid w:val="00CB78CF"/>
    <w:rsid w:val="00CC283E"/>
    <w:rsid w:val="00CC2DD1"/>
    <w:rsid w:val="00CC44E1"/>
    <w:rsid w:val="00CC51A1"/>
    <w:rsid w:val="00CC52F1"/>
    <w:rsid w:val="00CC5798"/>
    <w:rsid w:val="00CC59CB"/>
    <w:rsid w:val="00CC7632"/>
    <w:rsid w:val="00CD1DF0"/>
    <w:rsid w:val="00CD24C7"/>
    <w:rsid w:val="00CD2707"/>
    <w:rsid w:val="00CD2FE3"/>
    <w:rsid w:val="00CD4B5B"/>
    <w:rsid w:val="00CD63BE"/>
    <w:rsid w:val="00CD68B7"/>
    <w:rsid w:val="00CD7B3C"/>
    <w:rsid w:val="00CD7D80"/>
    <w:rsid w:val="00CD7E5D"/>
    <w:rsid w:val="00CE0E1C"/>
    <w:rsid w:val="00CE5873"/>
    <w:rsid w:val="00CF13F0"/>
    <w:rsid w:val="00CF14E7"/>
    <w:rsid w:val="00CF57D1"/>
    <w:rsid w:val="00CF6310"/>
    <w:rsid w:val="00CF6C2D"/>
    <w:rsid w:val="00D0135E"/>
    <w:rsid w:val="00D02360"/>
    <w:rsid w:val="00D0446D"/>
    <w:rsid w:val="00D04DEE"/>
    <w:rsid w:val="00D07407"/>
    <w:rsid w:val="00D07814"/>
    <w:rsid w:val="00D07D6B"/>
    <w:rsid w:val="00D111F9"/>
    <w:rsid w:val="00D125AA"/>
    <w:rsid w:val="00D14746"/>
    <w:rsid w:val="00D151B2"/>
    <w:rsid w:val="00D16B2B"/>
    <w:rsid w:val="00D20D36"/>
    <w:rsid w:val="00D223AB"/>
    <w:rsid w:val="00D22E25"/>
    <w:rsid w:val="00D23658"/>
    <w:rsid w:val="00D26858"/>
    <w:rsid w:val="00D27FF6"/>
    <w:rsid w:val="00D30F38"/>
    <w:rsid w:val="00D3279E"/>
    <w:rsid w:val="00D337A8"/>
    <w:rsid w:val="00D435FD"/>
    <w:rsid w:val="00D4437B"/>
    <w:rsid w:val="00D4548E"/>
    <w:rsid w:val="00D46D9A"/>
    <w:rsid w:val="00D46DA1"/>
    <w:rsid w:val="00D47A86"/>
    <w:rsid w:val="00D50962"/>
    <w:rsid w:val="00D50E02"/>
    <w:rsid w:val="00D51A79"/>
    <w:rsid w:val="00D5234C"/>
    <w:rsid w:val="00D53996"/>
    <w:rsid w:val="00D53C0D"/>
    <w:rsid w:val="00D53DD9"/>
    <w:rsid w:val="00D568D5"/>
    <w:rsid w:val="00D621DB"/>
    <w:rsid w:val="00D62EAF"/>
    <w:rsid w:val="00D636DA"/>
    <w:rsid w:val="00D63869"/>
    <w:rsid w:val="00D639C6"/>
    <w:rsid w:val="00D65B4D"/>
    <w:rsid w:val="00D65EE9"/>
    <w:rsid w:val="00D65FAE"/>
    <w:rsid w:val="00D66059"/>
    <w:rsid w:val="00D66A92"/>
    <w:rsid w:val="00D67E91"/>
    <w:rsid w:val="00D70818"/>
    <w:rsid w:val="00D71190"/>
    <w:rsid w:val="00D7124E"/>
    <w:rsid w:val="00D7136A"/>
    <w:rsid w:val="00D71CE0"/>
    <w:rsid w:val="00D721AE"/>
    <w:rsid w:val="00D72BDE"/>
    <w:rsid w:val="00D733A5"/>
    <w:rsid w:val="00D74192"/>
    <w:rsid w:val="00D75577"/>
    <w:rsid w:val="00D80814"/>
    <w:rsid w:val="00D81723"/>
    <w:rsid w:val="00D825C6"/>
    <w:rsid w:val="00D85693"/>
    <w:rsid w:val="00D90CB1"/>
    <w:rsid w:val="00D9157D"/>
    <w:rsid w:val="00D91A19"/>
    <w:rsid w:val="00D930B8"/>
    <w:rsid w:val="00D94546"/>
    <w:rsid w:val="00D975BC"/>
    <w:rsid w:val="00D97E54"/>
    <w:rsid w:val="00DA034F"/>
    <w:rsid w:val="00DA1500"/>
    <w:rsid w:val="00DA1B60"/>
    <w:rsid w:val="00DA3582"/>
    <w:rsid w:val="00DA44F1"/>
    <w:rsid w:val="00DB1161"/>
    <w:rsid w:val="00DB2061"/>
    <w:rsid w:val="00DB384C"/>
    <w:rsid w:val="00DB3B2C"/>
    <w:rsid w:val="00DB3E90"/>
    <w:rsid w:val="00DB618B"/>
    <w:rsid w:val="00DB6B1B"/>
    <w:rsid w:val="00DB79FD"/>
    <w:rsid w:val="00DB7C9F"/>
    <w:rsid w:val="00DC0303"/>
    <w:rsid w:val="00DC42B2"/>
    <w:rsid w:val="00DC43B1"/>
    <w:rsid w:val="00DC6BB7"/>
    <w:rsid w:val="00DC7212"/>
    <w:rsid w:val="00DD10BA"/>
    <w:rsid w:val="00DD2A3A"/>
    <w:rsid w:val="00DD399E"/>
    <w:rsid w:val="00DD49F6"/>
    <w:rsid w:val="00DD49F9"/>
    <w:rsid w:val="00DD579C"/>
    <w:rsid w:val="00DD57EA"/>
    <w:rsid w:val="00DD7280"/>
    <w:rsid w:val="00DE34F8"/>
    <w:rsid w:val="00DE4AD6"/>
    <w:rsid w:val="00DE4FFC"/>
    <w:rsid w:val="00DE507C"/>
    <w:rsid w:val="00DE5D54"/>
    <w:rsid w:val="00DE6C1C"/>
    <w:rsid w:val="00DF0AAB"/>
    <w:rsid w:val="00DF12D7"/>
    <w:rsid w:val="00DF3B5B"/>
    <w:rsid w:val="00DF405D"/>
    <w:rsid w:val="00DF5C82"/>
    <w:rsid w:val="00DF6275"/>
    <w:rsid w:val="00DF76EB"/>
    <w:rsid w:val="00DF7A02"/>
    <w:rsid w:val="00DF7C6D"/>
    <w:rsid w:val="00E0213D"/>
    <w:rsid w:val="00E04978"/>
    <w:rsid w:val="00E04FEC"/>
    <w:rsid w:val="00E10961"/>
    <w:rsid w:val="00E10DA6"/>
    <w:rsid w:val="00E1161A"/>
    <w:rsid w:val="00E134F2"/>
    <w:rsid w:val="00E13D5D"/>
    <w:rsid w:val="00E140AF"/>
    <w:rsid w:val="00E15F22"/>
    <w:rsid w:val="00E16886"/>
    <w:rsid w:val="00E16CD5"/>
    <w:rsid w:val="00E16DAA"/>
    <w:rsid w:val="00E17072"/>
    <w:rsid w:val="00E17518"/>
    <w:rsid w:val="00E200AF"/>
    <w:rsid w:val="00E20477"/>
    <w:rsid w:val="00E20C21"/>
    <w:rsid w:val="00E219C8"/>
    <w:rsid w:val="00E236DD"/>
    <w:rsid w:val="00E263F0"/>
    <w:rsid w:val="00E272C2"/>
    <w:rsid w:val="00E27A71"/>
    <w:rsid w:val="00E306EA"/>
    <w:rsid w:val="00E32312"/>
    <w:rsid w:val="00E3662B"/>
    <w:rsid w:val="00E401D2"/>
    <w:rsid w:val="00E410E6"/>
    <w:rsid w:val="00E4156B"/>
    <w:rsid w:val="00E420F3"/>
    <w:rsid w:val="00E42E3C"/>
    <w:rsid w:val="00E44A79"/>
    <w:rsid w:val="00E44FFD"/>
    <w:rsid w:val="00E458E3"/>
    <w:rsid w:val="00E47A50"/>
    <w:rsid w:val="00E5039C"/>
    <w:rsid w:val="00E51C07"/>
    <w:rsid w:val="00E5218D"/>
    <w:rsid w:val="00E5368B"/>
    <w:rsid w:val="00E54255"/>
    <w:rsid w:val="00E54913"/>
    <w:rsid w:val="00E54CB6"/>
    <w:rsid w:val="00E56B7C"/>
    <w:rsid w:val="00E56CB4"/>
    <w:rsid w:val="00E6013A"/>
    <w:rsid w:val="00E620F4"/>
    <w:rsid w:val="00E62C9D"/>
    <w:rsid w:val="00E63917"/>
    <w:rsid w:val="00E65702"/>
    <w:rsid w:val="00E65EC3"/>
    <w:rsid w:val="00E67E5B"/>
    <w:rsid w:val="00E7106F"/>
    <w:rsid w:val="00E711DF"/>
    <w:rsid w:val="00E7152D"/>
    <w:rsid w:val="00E71AE3"/>
    <w:rsid w:val="00E72BB1"/>
    <w:rsid w:val="00E72C52"/>
    <w:rsid w:val="00E72F11"/>
    <w:rsid w:val="00E73A4D"/>
    <w:rsid w:val="00E7425D"/>
    <w:rsid w:val="00E74427"/>
    <w:rsid w:val="00E75EDD"/>
    <w:rsid w:val="00E76C43"/>
    <w:rsid w:val="00E76C6E"/>
    <w:rsid w:val="00E76D77"/>
    <w:rsid w:val="00E77C4C"/>
    <w:rsid w:val="00E77FDD"/>
    <w:rsid w:val="00E828D0"/>
    <w:rsid w:val="00E82FBD"/>
    <w:rsid w:val="00E8388E"/>
    <w:rsid w:val="00E87735"/>
    <w:rsid w:val="00E87FB4"/>
    <w:rsid w:val="00E91F38"/>
    <w:rsid w:val="00E9218C"/>
    <w:rsid w:val="00E92C46"/>
    <w:rsid w:val="00E93691"/>
    <w:rsid w:val="00E95C81"/>
    <w:rsid w:val="00E95F24"/>
    <w:rsid w:val="00E96DD1"/>
    <w:rsid w:val="00E96F5F"/>
    <w:rsid w:val="00E979D5"/>
    <w:rsid w:val="00E97F21"/>
    <w:rsid w:val="00EA011C"/>
    <w:rsid w:val="00EA159D"/>
    <w:rsid w:val="00EA199E"/>
    <w:rsid w:val="00EA30C7"/>
    <w:rsid w:val="00EA457D"/>
    <w:rsid w:val="00EA47C5"/>
    <w:rsid w:val="00EA7B76"/>
    <w:rsid w:val="00EB053E"/>
    <w:rsid w:val="00EB2906"/>
    <w:rsid w:val="00EB416C"/>
    <w:rsid w:val="00EB5750"/>
    <w:rsid w:val="00EB5BB6"/>
    <w:rsid w:val="00EB62FE"/>
    <w:rsid w:val="00EB6AAA"/>
    <w:rsid w:val="00EC0E29"/>
    <w:rsid w:val="00EC2250"/>
    <w:rsid w:val="00EC3831"/>
    <w:rsid w:val="00EC3E8A"/>
    <w:rsid w:val="00EC4018"/>
    <w:rsid w:val="00ED0068"/>
    <w:rsid w:val="00ED1207"/>
    <w:rsid w:val="00ED430E"/>
    <w:rsid w:val="00ED5AEA"/>
    <w:rsid w:val="00EE0AA7"/>
    <w:rsid w:val="00EE29B5"/>
    <w:rsid w:val="00EE2B21"/>
    <w:rsid w:val="00EE36DF"/>
    <w:rsid w:val="00EE3B18"/>
    <w:rsid w:val="00EE44EE"/>
    <w:rsid w:val="00EE47B8"/>
    <w:rsid w:val="00EF2866"/>
    <w:rsid w:val="00EF327A"/>
    <w:rsid w:val="00EF3550"/>
    <w:rsid w:val="00EF3B7E"/>
    <w:rsid w:val="00EF3DF0"/>
    <w:rsid w:val="00EF44AB"/>
    <w:rsid w:val="00EF48BD"/>
    <w:rsid w:val="00EF5B80"/>
    <w:rsid w:val="00EF5C44"/>
    <w:rsid w:val="00EF7421"/>
    <w:rsid w:val="00EF7523"/>
    <w:rsid w:val="00EF7804"/>
    <w:rsid w:val="00EF7C2C"/>
    <w:rsid w:val="00F0581A"/>
    <w:rsid w:val="00F06B34"/>
    <w:rsid w:val="00F12E7A"/>
    <w:rsid w:val="00F16C58"/>
    <w:rsid w:val="00F21166"/>
    <w:rsid w:val="00F227C0"/>
    <w:rsid w:val="00F23E23"/>
    <w:rsid w:val="00F24293"/>
    <w:rsid w:val="00F24602"/>
    <w:rsid w:val="00F26307"/>
    <w:rsid w:val="00F273F6"/>
    <w:rsid w:val="00F27D5A"/>
    <w:rsid w:val="00F31F75"/>
    <w:rsid w:val="00F33010"/>
    <w:rsid w:val="00F33874"/>
    <w:rsid w:val="00F344BF"/>
    <w:rsid w:val="00F353A6"/>
    <w:rsid w:val="00F356CA"/>
    <w:rsid w:val="00F35881"/>
    <w:rsid w:val="00F35A5B"/>
    <w:rsid w:val="00F37AB4"/>
    <w:rsid w:val="00F4071A"/>
    <w:rsid w:val="00F43C57"/>
    <w:rsid w:val="00F43E42"/>
    <w:rsid w:val="00F44A8E"/>
    <w:rsid w:val="00F474E0"/>
    <w:rsid w:val="00F5101A"/>
    <w:rsid w:val="00F5270A"/>
    <w:rsid w:val="00F52A24"/>
    <w:rsid w:val="00F52DB8"/>
    <w:rsid w:val="00F6017C"/>
    <w:rsid w:val="00F60DD4"/>
    <w:rsid w:val="00F60E55"/>
    <w:rsid w:val="00F61C58"/>
    <w:rsid w:val="00F63DD9"/>
    <w:rsid w:val="00F654CA"/>
    <w:rsid w:val="00F7048F"/>
    <w:rsid w:val="00F70C15"/>
    <w:rsid w:val="00F70D0E"/>
    <w:rsid w:val="00F73787"/>
    <w:rsid w:val="00F739A9"/>
    <w:rsid w:val="00F73ACC"/>
    <w:rsid w:val="00F754EA"/>
    <w:rsid w:val="00F75BE5"/>
    <w:rsid w:val="00F80D78"/>
    <w:rsid w:val="00F840CC"/>
    <w:rsid w:val="00F8506D"/>
    <w:rsid w:val="00F8556F"/>
    <w:rsid w:val="00F85FA8"/>
    <w:rsid w:val="00F8657F"/>
    <w:rsid w:val="00F86815"/>
    <w:rsid w:val="00F86B59"/>
    <w:rsid w:val="00F86BA5"/>
    <w:rsid w:val="00F87F8C"/>
    <w:rsid w:val="00F91278"/>
    <w:rsid w:val="00F92EA8"/>
    <w:rsid w:val="00F93369"/>
    <w:rsid w:val="00F95C68"/>
    <w:rsid w:val="00F95E65"/>
    <w:rsid w:val="00F963CF"/>
    <w:rsid w:val="00F9756F"/>
    <w:rsid w:val="00FA225D"/>
    <w:rsid w:val="00FA39D5"/>
    <w:rsid w:val="00FA42AD"/>
    <w:rsid w:val="00FA6989"/>
    <w:rsid w:val="00FB2D74"/>
    <w:rsid w:val="00FB307C"/>
    <w:rsid w:val="00FB45D0"/>
    <w:rsid w:val="00FB5507"/>
    <w:rsid w:val="00FB6031"/>
    <w:rsid w:val="00FB64FA"/>
    <w:rsid w:val="00FB7016"/>
    <w:rsid w:val="00FC002B"/>
    <w:rsid w:val="00FC077E"/>
    <w:rsid w:val="00FC1508"/>
    <w:rsid w:val="00FC1A14"/>
    <w:rsid w:val="00FC39B6"/>
    <w:rsid w:val="00FC72E9"/>
    <w:rsid w:val="00FD17DB"/>
    <w:rsid w:val="00FD1C84"/>
    <w:rsid w:val="00FD2D1F"/>
    <w:rsid w:val="00FD38CD"/>
    <w:rsid w:val="00FD3A31"/>
    <w:rsid w:val="00FD44E7"/>
    <w:rsid w:val="00FD4746"/>
    <w:rsid w:val="00FD5C28"/>
    <w:rsid w:val="00FD60AE"/>
    <w:rsid w:val="00FD6DD0"/>
    <w:rsid w:val="00FD71B1"/>
    <w:rsid w:val="00FD7857"/>
    <w:rsid w:val="00FE0FE7"/>
    <w:rsid w:val="00FE3504"/>
    <w:rsid w:val="00FE3DB8"/>
    <w:rsid w:val="00FE4024"/>
    <w:rsid w:val="00FE423B"/>
    <w:rsid w:val="00FE46B3"/>
    <w:rsid w:val="00FE48FC"/>
    <w:rsid w:val="00FE565F"/>
    <w:rsid w:val="00FE640A"/>
    <w:rsid w:val="00FE7B9C"/>
    <w:rsid w:val="00FE7BFD"/>
    <w:rsid w:val="00FE7FF6"/>
    <w:rsid w:val="00FF0DE4"/>
    <w:rsid w:val="00FF4908"/>
    <w:rsid w:val="00FF4B3D"/>
    <w:rsid w:val="00FF6799"/>
    <w:rsid w:val="00FF7519"/>
    <w:rsid w:val="4CD2F42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F25DD4B"/>
  <w15:docId w15:val="{60F6DF7D-97B1-4762-8F99-7BE098DE6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3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hAnsi="Tahoma" w:cs="Tahoma"/>
      <w:sz w:val="16"/>
      <w:szCs w:val="16"/>
    </w:rPr>
  </w:style>
  <w:style w:type="paragraph" w:styleId="Revision">
    <w:name w:val="Revision"/>
    <w:hidden/>
    <w:uiPriority w:val="99"/>
    <w:semiHidden/>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locked/>
    <w:rPr>
      <w:b/>
      <w:bCs/>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F227C0"/>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3EFA8984-EDA1-4938-BCA3-5D4DD86D7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7570</Words>
  <Characters>44932</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AP</vt:lpstr>
    </vt:vector>
  </TitlesOfParts>
  <Company>Microsoft</Company>
  <LinksUpToDate>false</LinksUpToDate>
  <CharactersWithSpaces>52398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c:title>
  <dc:subject/>
  <dc:creator>Rocio</dc:creator>
  <cp:keywords/>
  <dc:description/>
  <cp:lastModifiedBy>Jennifer Toney</cp:lastModifiedBy>
  <cp:revision>3</cp:revision>
  <cp:lastPrinted>2020-02-07T14:20:00Z</cp:lastPrinted>
  <dcterms:created xsi:type="dcterms:W3CDTF">2020-05-22T13:10:00Z</dcterms:created>
  <dcterms:modified xsi:type="dcterms:W3CDTF">2020-05-22T13:50:00Z</dcterms:modified>
</cp:coreProperties>
</file>